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883285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9209">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69.55pt" to="576pt,69.55pt" o:allowincell="f" strokecolor="#000000" strokeweight="2.2999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1106170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87.1pt" to="576pt,87.1pt" o:allowincell="f" strokecolor="#000000" strokeweight="0.75pt">
                <w10:wrap anchorx="page" anchory="page"/>
              </v:line>
            </w:pict>
          </mc:Fallback>
        </mc:AlternateConten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2571115</wp:posOffset>
                </wp:positionH>
                <wp:positionV relativeFrom="paragraph">
                  <wp:posOffset>316230</wp:posOffset>
                </wp:positionV>
                <wp:extent cx="17145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8889">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5pt,24.9pt" to="337.45pt,24.9pt" o:allowincell="f" strokecolor="#000000" strokeweight="0.6999pt"/>
            </w:pict>
          </mc:Fallback>
        </mc:AlternateContent>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2571115</wp:posOffset>
                </wp:positionH>
                <wp:positionV relativeFrom="paragraph">
                  <wp:posOffset>198120</wp:posOffset>
                </wp:positionV>
                <wp:extent cx="17145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45pt,15.6pt" to="337.45pt,15.6pt" o:allowincell="f" strokecolor="#000000" strokeweight="0.7pt"/>
            </w:pict>
          </mc:Fallback>
        </mc:AlternateContent>
      </w:r>
    </w:p>
    <w:p>
      <w:pPr>
        <w:spacing w:after="0" w:line="3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0" w:lineRule="exact"/>
        <w:rPr>
          <w:sz w:val="24"/>
          <w:szCs w:val="24"/>
          <w:color w:val="auto"/>
        </w:rPr>
      </w:pPr>
    </w:p>
    <w:p>
      <w:pPr>
        <w:ind w:left="560" w:hanging="555"/>
        <w:spacing w:after="0"/>
        <w:tabs>
          <w:tab w:leader="none" w:pos="560" w:val="left"/>
        </w:tabs>
        <w:numPr>
          <w:ilvl w:val="0"/>
          <w:numId w:val="1"/>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or</w:t>
      </w:r>
    </w:p>
    <w:p>
      <w:pPr>
        <w:ind w:left="560" w:hanging="555"/>
        <w:spacing w:after="0" w:line="226" w:lineRule="auto"/>
        <w:tabs>
          <w:tab w:leader="none" w:pos="560" w:val="left"/>
        </w:tabs>
        <w:numPr>
          <w:ilvl w:val="0"/>
          <w:numId w:val="2"/>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 xml:space="preserve">For the transition period from </w:t>
      </w:r>
      <w:r>
        <w:rPr>
          <w:rFonts w:ascii="Times New Roman" w:cs="Times New Roman" w:eastAsia="Times New Roman" w:hAnsi="Times New Roman"/>
          <w:sz w:val="20"/>
          <w:szCs w:val="20"/>
          <w:b w:val="1"/>
          <w:bCs w:val="1"/>
          <w:u w:val="single" w:color="auto"/>
          <w:color w:val="auto"/>
        </w:rPr>
        <w:t>_____</w:t>
      </w:r>
      <w:r>
        <w:rPr>
          <w:rFonts w:ascii="Times New Roman" w:cs="Times New Roman" w:eastAsia="Times New Roman" w:hAnsi="Times New Roman"/>
          <w:sz w:val="20"/>
          <w:szCs w:val="20"/>
          <w:b w:val="1"/>
          <w:bCs w:val="1"/>
          <w:color w:val="auto"/>
        </w:rPr>
        <w:t xml:space="preserve"> to </w:t>
      </w:r>
      <w:r>
        <w:rPr>
          <w:rFonts w:ascii="Times New Roman" w:cs="Times New Roman" w:eastAsia="Times New Roman" w:hAnsi="Times New Roman"/>
          <w:sz w:val="20"/>
          <w:szCs w:val="20"/>
          <w:b w:val="1"/>
          <w:bCs w:val="1"/>
          <w:u w:val="single" w:color="auto"/>
          <w:color w:val="auto"/>
        </w:rPr>
        <w:t>_____</w:t>
      </w: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000-29959</w:t>
      </w:r>
    </w:p>
    <w:p>
      <w:pPr>
        <w:jc w:val="center"/>
        <w:spacing w:after="0"/>
        <w:rPr>
          <w:sz w:val="20"/>
          <w:szCs w:val="20"/>
          <w:color w:val="auto"/>
        </w:rPr>
      </w:pPr>
      <w:r>
        <w:rPr>
          <w:rFonts w:ascii="Times New Roman" w:cs="Times New Roman" w:eastAsia="Times New Roman" w:hAnsi="Times New Roman"/>
          <w:sz w:val="36"/>
          <w:szCs w:val="36"/>
          <w:b w:val="1"/>
          <w:bCs w:val="1"/>
          <w:color w:val="auto"/>
        </w:rPr>
        <w:t>Filana Therapeutics, Inc.</w:t>
      </w: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320" w:type="dxa"/>
            <w:vAlign w:val="bottom"/>
          </w:tcPr>
          <w:p>
            <w:pPr>
              <w:jc w:val="center"/>
              <w:ind w:left="98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4420" w:type="dxa"/>
            <w:vAlign w:val="bottom"/>
            <w:gridSpan w:val="2"/>
          </w:tcPr>
          <w:p>
            <w:pPr>
              <w:jc w:val="center"/>
              <w:ind w:right="880"/>
              <w:spacing w:after="0"/>
              <w:rPr>
                <w:sz w:val="20"/>
                <w:szCs w:val="20"/>
                <w:color w:val="auto"/>
              </w:rPr>
            </w:pPr>
            <w:r>
              <w:rPr>
                <w:rFonts w:ascii="Times New Roman" w:cs="Times New Roman" w:eastAsia="Times New Roman" w:hAnsi="Times New Roman"/>
                <w:sz w:val="20"/>
                <w:szCs w:val="20"/>
                <w:b w:val="1"/>
                <w:bCs w:val="1"/>
                <w:color w:val="auto"/>
                <w:w w:val="99"/>
              </w:rPr>
              <w:t>91-1911336</w:t>
            </w:r>
          </w:p>
        </w:tc>
      </w:tr>
      <w:tr>
        <w:trPr>
          <w:trHeight w:val="240"/>
        </w:trPr>
        <w:tc>
          <w:tcPr>
            <w:tcW w:w="4320" w:type="dxa"/>
            <w:vAlign w:val="bottom"/>
          </w:tcPr>
          <w:p>
            <w:pPr>
              <w:jc w:val="center"/>
              <w:ind w:left="980"/>
              <w:spacing w:after="0"/>
              <w:rPr>
                <w:sz w:val="20"/>
                <w:szCs w:val="20"/>
                <w:color w:val="auto"/>
              </w:rPr>
            </w:pPr>
            <w:r>
              <w:rPr>
                <w:rFonts w:ascii="Times New Roman" w:cs="Times New Roman" w:eastAsia="Times New Roman" w:hAnsi="Times New Roman"/>
                <w:sz w:val="20"/>
                <w:szCs w:val="20"/>
                <w:i w:val="1"/>
                <w:iCs w:val="1"/>
                <w:color w:val="auto"/>
              </w:rPr>
              <w:t>(State or other jurisdiction of</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jc w:val="center"/>
              <w:ind w:right="980"/>
              <w:spacing w:after="0"/>
              <w:rPr>
                <w:sz w:val="20"/>
                <w:szCs w:val="20"/>
                <w:color w:val="auto"/>
              </w:rPr>
            </w:pPr>
            <w:r>
              <w:rPr>
                <w:rFonts w:ascii="Times New Roman" w:cs="Times New Roman" w:eastAsia="Times New Roman" w:hAnsi="Times New Roman"/>
                <w:sz w:val="20"/>
                <w:szCs w:val="20"/>
                <w:i w:val="1"/>
                <w:iCs w:val="1"/>
                <w:color w:val="auto"/>
                <w:w w:val="98"/>
              </w:rPr>
              <w:t>(I.R.S. Employer</w:t>
            </w:r>
          </w:p>
        </w:tc>
      </w:tr>
      <w:tr>
        <w:trPr>
          <w:trHeight w:val="233"/>
        </w:trPr>
        <w:tc>
          <w:tcPr>
            <w:tcW w:w="4320" w:type="dxa"/>
            <w:vAlign w:val="bottom"/>
          </w:tcPr>
          <w:p>
            <w:pPr>
              <w:jc w:val="center"/>
              <w:ind w:left="980"/>
              <w:spacing w:after="0"/>
              <w:rPr>
                <w:sz w:val="20"/>
                <w:szCs w:val="20"/>
                <w:color w:val="auto"/>
              </w:rPr>
            </w:pPr>
            <w:r>
              <w:rPr>
                <w:rFonts w:ascii="Times New Roman" w:cs="Times New Roman" w:eastAsia="Times New Roman" w:hAnsi="Times New Roman"/>
                <w:sz w:val="20"/>
                <w:szCs w:val="20"/>
                <w:i w:val="1"/>
                <w:iCs w:val="1"/>
                <w:color w:val="auto"/>
              </w:rPr>
              <w:t>incorporation or organization)</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tcPr>
          <w:p>
            <w:pPr>
              <w:jc w:val="center"/>
              <w:ind w:right="980"/>
              <w:spacing w:after="0"/>
              <w:rPr>
                <w:sz w:val="20"/>
                <w:szCs w:val="20"/>
                <w:color w:val="auto"/>
              </w:rPr>
            </w:pPr>
            <w:r>
              <w:rPr>
                <w:rFonts w:ascii="Times New Roman" w:cs="Times New Roman" w:eastAsia="Times New Roman" w:hAnsi="Times New Roman"/>
                <w:sz w:val="20"/>
                <w:szCs w:val="20"/>
                <w:i w:val="1"/>
                <w:iCs w:val="1"/>
                <w:color w:val="auto"/>
              </w:rPr>
              <w:t>Identification Number)</w:t>
            </w:r>
          </w:p>
        </w:tc>
      </w:tr>
      <w:tr>
        <w:trPr>
          <w:trHeight w:val="226"/>
        </w:trPr>
        <w:tc>
          <w:tcPr>
            <w:tcW w:w="10800" w:type="dxa"/>
            <w:vAlign w:val="bottom"/>
            <w:gridSpan w:val="5"/>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6801 N. Capital of Texas Highway, Building 1; Suite 300, Austin, TX 78731</w:t>
            </w:r>
          </w:p>
        </w:tc>
      </w:tr>
      <w:tr>
        <w:trPr>
          <w:trHeight w:val="234"/>
        </w:trPr>
        <w:tc>
          <w:tcPr>
            <w:tcW w:w="4320" w:type="dxa"/>
            <w:vAlign w:val="bottom"/>
          </w:tcPr>
          <w:p>
            <w:pPr>
              <w:spacing w:after="0"/>
              <w:rPr>
                <w:sz w:val="20"/>
                <w:szCs w:val="20"/>
                <w:color w:val="auto"/>
              </w:rPr>
            </w:pP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(512) 501-2444</w:t>
            </w:r>
          </w:p>
        </w:tc>
        <w:tc>
          <w:tcPr>
            <w:tcW w:w="10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230"/>
        </w:trPr>
        <w:tc>
          <w:tcPr>
            <w:tcW w:w="10800" w:type="dxa"/>
            <w:vAlign w:val="bottom"/>
            <w:gridSpan w:val="5"/>
          </w:tcPr>
          <w:p>
            <w:pPr>
              <w:jc w:val="center"/>
              <w:spacing w:after="0"/>
              <w:rPr>
                <w:sz w:val="20"/>
                <w:szCs w:val="20"/>
                <w:color w:val="auto"/>
              </w:rPr>
            </w:pPr>
            <w:r>
              <w:rPr>
                <w:rFonts w:ascii="Times New Roman" w:cs="Times New Roman" w:eastAsia="Times New Roman" w:hAnsi="Times New Roman"/>
                <w:sz w:val="20"/>
                <w:szCs w:val="20"/>
                <w:i w:val="1"/>
                <w:iCs w:val="1"/>
                <w:color w:val="auto"/>
              </w:rPr>
              <w:t>(Address, including zip code, of registrant's principal executive offices and</w:t>
            </w:r>
          </w:p>
        </w:tc>
      </w:tr>
      <w:tr>
        <w:trPr>
          <w:trHeight w:val="229"/>
        </w:trPr>
        <w:tc>
          <w:tcPr>
            <w:tcW w:w="10800" w:type="dxa"/>
            <w:vAlign w:val="bottom"/>
            <w:gridSpan w:val="5"/>
          </w:tcPr>
          <w:p>
            <w:pPr>
              <w:jc w:val="center"/>
              <w:spacing w:after="0" w:line="229" w:lineRule="exact"/>
              <w:rPr>
                <w:sz w:val="20"/>
                <w:szCs w:val="20"/>
                <w:color w:val="auto"/>
              </w:rPr>
            </w:pPr>
            <w:r>
              <w:rPr>
                <w:rFonts w:ascii="Times New Roman" w:cs="Times New Roman" w:eastAsia="Times New Roman" w:hAnsi="Times New Roman"/>
                <w:sz w:val="20"/>
                <w:szCs w:val="20"/>
                <w:i w:val="1"/>
                <w:iCs w:val="1"/>
                <w:color w:val="auto"/>
                <w:w w:val="99"/>
              </w:rPr>
              <w:t>telephone number, including area code)</w:t>
            </w:r>
          </w:p>
        </w:tc>
      </w:tr>
      <w:tr>
        <w:trPr>
          <w:trHeight w:val="265"/>
        </w:trPr>
        <w:tc>
          <w:tcPr>
            <w:tcW w:w="638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tc>
        <w:tc>
          <w:tcPr>
            <w:tcW w:w="100" w:type="dxa"/>
            <w:vAlign w:val="bottom"/>
          </w:tcPr>
          <w:p>
            <w:pPr>
              <w:spacing w:after="0"/>
              <w:rPr>
                <w:sz w:val="23"/>
                <w:szCs w:val="23"/>
                <w:color w:val="auto"/>
              </w:rPr>
            </w:pPr>
          </w:p>
        </w:tc>
        <w:tc>
          <w:tcPr>
            <w:tcW w:w="4320" w:type="dxa"/>
            <w:vAlign w:val="bottom"/>
          </w:tcPr>
          <w:p>
            <w:pPr>
              <w:spacing w:after="0"/>
              <w:rPr>
                <w:sz w:val="23"/>
                <w:szCs w:val="23"/>
                <w:color w:val="auto"/>
              </w:rPr>
            </w:pPr>
          </w:p>
        </w:tc>
      </w:tr>
      <w:tr>
        <w:trPr>
          <w:trHeight w:val="427"/>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Trading</w:t>
            </w:r>
          </w:p>
        </w:tc>
        <w:tc>
          <w:tcPr>
            <w:tcW w:w="1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60"/>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Title of each class</w:t>
            </w:r>
          </w:p>
        </w:tc>
        <w:tc>
          <w:tcPr>
            <w:tcW w:w="100" w:type="dxa"/>
            <w:vAlign w:val="bottom"/>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Symbol(s)</w:t>
            </w:r>
          </w:p>
        </w:tc>
        <w:tc>
          <w:tcPr>
            <w:tcW w:w="100" w:type="dxa"/>
            <w:vAlign w:val="bottom"/>
          </w:tcPr>
          <w:p>
            <w:pPr>
              <w:spacing w:after="0"/>
              <w:rPr>
                <w:sz w:val="22"/>
                <w:szCs w:val="22"/>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Common Stock, $0.001 par value</w:t>
            </w:r>
          </w:p>
        </w:tc>
        <w:tc>
          <w:tcPr>
            <w:tcW w:w="10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FLNA</w:t>
            </w:r>
          </w:p>
        </w:tc>
        <w:tc>
          <w:tcPr>
            <w:tcW w:w="10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12(g) of the Act: None</w:t>
      </w:r>
    </w:p>
    <w:p>
      <w:pPr>
        <w:spacing w:after="0" w:line="17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ր</w:t>
      </w:r>
    </w:p>
    <w:p>
      <w:pPr>
        <w:spacing w:after="0" w:line="80" w:lineRule="exact"/>
        <w:rPr>
          <w:sz w:val="24"/>
          <w:szCs w:val="24"/>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ր</w:t>
      </w:r>
    </w:p>
    <w:p>
      <w:pPr>
        <w:spacing w:after="0" w:line="1" w:lineRule="exact"/>
        <w:rPr>
          <w:sz w:val="24"/>
          <w:szCs w:val="24"/>
          <w:color w:val="auto"/>
        </w:rPr>
      </w:pPr>
    </w:p>
    <w:p>
      <w:pPr>
        <w:jc w:val="both"/>
        <w:ind w:firstLine="360"/>
        <w:spacing w:after="0" w:line="235"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(2) has been subject to such filing requirements for the past 90 days. Yes </w:t>
      </w:r>
      <w:r>
        <w:rPr>
          <w:rFonts w:ascii="Segoe UI" w:cs="Segoe UI" w:eastAsia="Segoe UI" w:hAnsi="Segoe UI"/>
          <w:sz w:val="20"/>
          <w:szCs w:val="20"/>
          <w:color w:val="auto"/>
        </w:rPr>
        <w:t>ր</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pacing w:after="0" w:line="9" w:lineRule="exact"/>
        <w:rPr>
          <w:sz w:val="24"/>
          <w:szCs w:val="24"/>
          <w:color w:val="auto"/>
        </w:rPr>
      </w:pPr>
    </w:p>
    <w:p>
      <w:pPr>
        <w:jc w:val="both"/>
        <w:ind w:firstLine="360"/>
        <w:spacing w:after="0" w:line="234"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registrant was required to submit such files). Yes </w:t>
      </w:r>
      <w:r>
        <w:rPr>
          <w:rFonts w:ascii="Segoe UI" w:cs="Segoe UI" w:eastAsia="Segoe UI" w:hAnsi="Segoe UI"/>
          <w:sz w:val="20"/>
          <w:szCs w:val="20"/>
          <w:color w:val="auto"/>
        </w:rPr>
        <w:t>ր</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24"/>
          <w:szCs w:val="24"/>
          <w:color w:val="auto"/>
        </w:rPr>
        <w:t>1 / 117</w:t>
      </w:r>
    </w:p>
    <w:p>
      <w:pPr>
        <w:sectPr>
          <w:pgSz w:w="12240" w:h="15840" w:orient="portrait"/>
          <w:cols w:equalWidth="0" w:num="1">
            <w:col w:w="10800"/>
          </w:cols>
          <w:pgMar w:left="720" w:top="1440" w:right="720" w:bottom="0" w:gutter="0" w:footer="0" w:header="0"/>
        </w:sectPr>
      </w:pPr>
    </w:p>
    <w:bookmarkStart w:id="1" w:name="page2"/>
    <w:bookmarkEnd w:id="1"/>
    <w:p>
      <w:pPr>
        <w:jc w:val="both"/>
        <w:ind w:firstLine="360"/>
        <w:spacing w:after="0" w:line="248"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tabs>
          <w:tab w:leader="none" w:pos="5380" w:val="left"/>
        </w:tabs>
        <w:rPr>
          <w:sz w:val="20"/>
          <w:szCs w:val="20"/>
          <w:color w:val="auto"/>
        </w:rPr>
      </w:pPr>
      <w:r>
        <w:rPr>
          <w:rFonts w:ascii="Times New Roman" w:cs="Times New Roman" w:eastAsia="Times New Roman" w:hAnsi="Times New Roman"/>
          <w:sz w:val="20"/>
          <w:szCs w:val="20"/>
          <w:color w:val="auto"/>
        </w:rPr>
        <w:t xml:space="preserve">Large accelerated filer </w:t>
      </w:r>
      <w:r>
        <w:rPr>
          <w:rFonts w:ascii="Segoe UI" w:cs="Segoe UI" w:eastAsia="Segoe UI" w:hAnsi="Segoe UI"/>
          <w:sz w:val="20"/>
          <w:szCs w:val="20"/>
          <w:color w:val="auto"/>
        </w:rPr>
        <w:t>տ</w:t>
      </w:r>
      <w:r>
        <w:rPr>
          <w:sz w:val="20"/>
          <w:szCs w:val="20"/>
          <w:color w:val="auto"/>
        </w:rPr>
        <w:tab/>
      </w:r>
      <w:r>
        <w:rPr>
          <w:rFonts w:ascii="Times New Roman" w:cs="Times New Roman" w:eastAsia="Times New Roman" w:hAnsi="Times New Roman"/>
          <w:sz w:val="20"/>
          <w:szCs w:val="20"/>
          <w:color w:val="auto"/>
        </w:rPr>
        <w:t xml:space="preserve">Accelerated filer </w:t>
      </w:r>
      <w:r>
        <w:rPr>
          <w:rFonts w:ascii="Segoe UI" w:cs="Segoe UI" w:eastAsia="Segoe UI" w:hAnsi="Segoe UI"/>
          <w:sz w:val="20"/>
          <w:szCs w:val="20"/>
          <w:color w:val="auto"/>
        </w:rPr>
        <w:t>տ</w:t>
      </w:r>
    </w:p>
    <w:p>
      <w:pPr>
        <w:spacing w:after="0" w:line="48"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20"/>
          <w:szCs w:val="20"/>
          <w:color w:val="auto"/>
        </w:rPr>
        <w:t xml:space="preserve">Non-accelerated filer </w:t>
      </w:r>
      <w:r>
        <w:rPr>
          <w:rFonts w:ascii="Segoe UI" w:cs="Segoe UI" w:eastAsia="Segoe UI" w:hAnsi="Segoe UI"/>
          <w:sz w:val="20"/>
          <w:szCs w:val="20"/>
          <w:color w:val="auto"/>
        </w:rPr>
        <w:t>ր</w:t>
      </w:r>
      <w:r>
        <w:rPr>
          <w:sz w:val="20"/>
          <w:szCs w:val="20"/>
          <w:color w:val="auto"/>
        </w:rPr>
        <w:tab/>
      </w:r>
      <w:r>
        <w:rPr>
          <w:rFonts w:ascii="Times New Roman" w:cs="Times New Roman" w:eastAsia="Times New Roman" w:hAnsi="Times New Roman"/>
          <w:sz w:val="20"/>
          <w:szCs w:val="20"/>
          <w:color w:val="auto"/>
        </w:rPr>
        <w:t xml:space="preserve">Smaller reporting company </w:t>
      </w:r>
      <w:r>
        <w:rPr>
          <w:rFonts w:ascii="Segoe UI" w:cs="Segoe UI" w:eastAsia="Segoe UI" w:hAnsi="Segoe UI"/>
          <w:sz w:val="20"/>
          <w:szCs w:val="20"/>
          <w:color w:val="auto"/>
        </w:rPr>
        <w:t>ր</w:t>
      </w:r>
    </w:p>
    <w:p>
      <w:pPr>
        <w:ind w:left="5400"/>
        <w:spacing w:after="0" w:line="227" w:lineRule="auto"/>
        <w:rPr>
          <w:sz w:val="20"/>
          <w:szCs w:val="20"/>
          <w:color w:val="auto"/>
        </w:rPr>
      </w:pPr>
      <w:r>
        <w:rPr>
          <w:rFonts w:ascii="Times New Roman" w:cs="Times New Roman" w:eastAsia="Times New Roman" w:hAnsi="Times New Roman"/>
          <w:sz w:val="20"/>
          <w:szCs w:val="20"/>
          <w:color w:val="auto"/>
        </w:rPr>
        <w:t xml:space="preserve">Emerging growth company </w:t>
      </w:r>
      <w:r>
        <w:rPr>
          <w:rFonts w:ascii="Segoe UI" w:cs="Segoe UI" w:eastAsia="Segoe UI" w:hAnsi="Segoe UI"/>
          <w:sz w:val="20"/>
          <w:szCs w:val="20"/>
          <w:color w:val="auto"/>
        </w:rPr>
        <w:t>տ</w:t>
      </w:r>
    </w:p>
    <w:p>
      <w:pPr>
        <w:spacing w:after="0" w:line="1"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20"/>
          <w:szCs w:val="20"/>
          <w:color w:val="auto"/>
        </w:rPr>
        <w:t>տ</w:t>
      </w:r>
    </w:p>
    <w:p>
      <w:pPr>
        <w:spacing w:after="0" w:line="1" w:lineRule="exact"/>
        <w:rPr>
          <w:sz w:val="20"/>
          <w:szCs w:val="20"/>
          <w:color w:val="auto"/>
        </w:rPr>
      </w:pPr>
    </w:p>
    <w:p>
      <w:pPr>
        <w:jc w:val="both"/>
        <w:ind w:firstLine="360"/>
        <w:spacing w:after="0" w:line="239"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20"/>
          <w:szCs w:val="20"/>
          <w:color w:val="auto"/>
        </w:rPr>
        <w:t>տ</w:t>
      </w:r>
    </w:p>
    <w:p>
      <w:pPr>
        <w:spacing w:after="0" w:line="2" w:lineRule="exact"/>
        <w:rPr>
          <w:sz w:val="20"/>
          <w:szCs w:val="20"/>
          <w:color w:val="auto"/>
        </w:rPr>
      </w:pPr>
    </w:p>
    <w:p>
      <w:pPr>
        <w:jc w:val="both"/>
        <w:ind w:firstLine="360"/>
        <w:spacing w:after="0"/>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auto"/>
        </w:rPr>
        <w:t>տ</w:t>
      </w:r>
    </w:p>
    <w:p>
      <w:pPr>
        <w:spacing w:after="0" w:line="1" w:lineRule="exact"/>
        <w:rPr>
          <w:sz w:val="20"/>
          <w:szCs w:val="20"/>
          <w:color w:val="auto"/>
        </w:rPr>
      </w:pPr>
    </w:p>
    <w:p>
      <w:pPr>
        <w:jc w:val="both"/>
        <w:ind w:firstLine="360"/>
        <w:spacing w:after="0" w:line="248" w:lineRule="auto"/>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9"/>
          <w:szCs w:val="19"/>
          <w:color w:val="auto"/>
        </w:rPr>
        <w:t>տ</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ր</w:t>
      </w:r>
    </w:p>
    <w:p>
      <w:pPr>
        <w:spacing w:after="0" w:line="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aggregate market value of the voting and non -voting common equity held by non-affiliates was approximately $87 million computed by reference to the last sales price of $1.81 as reported on the Nasdaq Capital Market, as of the last business day of the Registrant's most recently completed second fiscal quarter, June 30, 2025. The number of shares outstanding of the Registrant's common stock, par value $0.001 per share, on March 9, 2026 was 48,307,896.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32"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Portions of the Registrant's proxy statement for its 2026 Annual Meeting of Stockholders (the “Proxy Statement”), to be filed with the U.S. Securities and Exchange Commission, no later than 120 days after the Registrant’s fiscal year ended December 31, 2025, are incorporated by reference 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301625</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889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75pt" to="540pt,23.75pt" o:allowincell="f" strokecolor="#000000" strokeweight="0.7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504825</wp:posOffset>
                </wp:positionV>
                <wp:extent cx="68580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29209">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75pt" to="540pt,39.75pt" o:allowincell="f" strokecolor="#000000" strokeweight="2.29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 / 117</w:t>
      </w:r>
    </w:p>
    <w:p>
      <w:pPr>
        <w:sectPr>
          <w:pgSz w:w="12240" w:h="15840" w:orient="portrait"/>
          <w:cols w:equalWidth="0" w:num="1">
            <w:col w:w="10800"/>
          </w:cols>
          <w:pgMar w:left="720" w:top="788" w:right="72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3"/>
        </w:trPr>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560" w:type="dxa"/>
            <w:vAlign w:val="bottom"/>
            <w:gridSpan w:val="9"/>
          </w:tcPr>
          <w:p>
            <w:pPr>
              <w:jc w:val="center"/>
              <w:ind w:right="2560"/>
              <w:spacing w:after="0"/>
              <w:rPr>
                <w:sz w:val="20"/>
                <w:szCs w:val="20"/>
                <w:color w:val="auto"/>
              </w:rPr>
            </w:pPr>
            <w:r>
              <w:rPr>
                <w:rFonts w:ascii="Times New Roman" w:cs="Times New Roman" w:eastAsia="Times New Roman" w:hAnsi="Times New Roman"/>
                <w:sz w:val="20"/>
                <w:szCs w:val="20"/>
                <w:b w:val="1"/>
                <w:bCs w:val="1"/>
                <w:color w:val="auto"/>
              </w:rPr>
              <w:t>FILANA THERAPEUTICS, INC.</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60" w:type="dxa"/>
            <w:vAlign w:val="bottom"/>
            <w:gridSpan w:val="8"/>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60" w:type="dxa"/>
            <w:vAlign w:val="bottom"/>
            <w:gridSpan w:val="8"/>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3"/>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60" w:type="dxa"/>
            <w:vAlign w:val="bottom"/>
            <w:gridSpan w:val="8"/>
            <w:vMerge w:val="restart"/>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620" w:type="dxa"/>
            <w:vAlign w:val="bottom"/>
            <w:gridSpan w:val="8"/>
          </w:tcPr>
          <w:p>
            <w:pPr>
              <w:ind w:left="220"/>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60" w:type="dxa"/>
            <w:vAlign w:val="bottom"/>
            <w:gridSpan w:val="8"/>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Item 1.</w:t>
            </w:r>
          </w:p>
        </w:tc>
        <w:tc>
          <w:tcPr>
            <w:tcW w:w="8840" w:type="dxa"/>
            <w:vAlign w:val="bottom"/>
            <w:gridSpan w:val="20"/>
          </w:tcPr>
          <w:p>
            <w:pPr>
              <w:spacing w:after="0" w:line="227" w:lineRule="exact"/>
              <w:rPr>
                <w:sz w:val="20"/>
                <w:szCs w:val="20"/>
                <w:color w:val="auto"/>
              </w:rPr>
            </w:pPr>
            <w:r>
              <w:rPr>
                <w:rFonts w:ascii="Times New Roman" w:cs="Times New Roman" w:eastAsia="Times New Roman" w:hAnsi="Times New Roman"/>
                <w:sz w:val="20"/>
                <w:szCs w:val="20"/>
                <w:color w:val="313131"/>
              </w:rPr>
              <w:t>Business</w:t>
            </w:r>
          </w:p>
        </w:tc>
        <w:tc>
          <w:tcPr>
            <w:tcW w:w="480" w:type="dxa"/>
            <w:vAlign w:val="bottom"/>
            <w:gridSpan w:val="5"/>
          </w:tcPr>
          <w:p>
            <w:pPr>
              <w:jc w:val="center"/>
              <w:ind w:left="240"/>
              <w:spacing w:after="0" w:line="227" w:lineRule="exact"/>
              <w:rPr>
                <w:sz w:val="20"/>
                <w:szCs w:val="20"/>
                <w:color w:val="auto"/>
              </w:rPr>
            </w:pPr>
            <w:r>
              <w:rPr>
                <w:rFonts w:ascii="Times New Roman" w:cs="Times New Roman" w:eastAsia="Times New Roman" w:hAnsi="Times New Roman"/>
                <w:sz w:val="20"/>
                <w:szCs w:val="20"/>
                <w:color w:val="313131"/>
                <w:w w:val="99"/>
              </w:rPr>
              <w:t>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20" w:type="dxa"/>
            <w:vAlign w:val="bottom"/>
            <w:shd w:val="clear" w:color="auto" w:fill="313131"/>
          </w:tcPr>
          <w:p>
            <w:pPr>
              <w:spacing w:after="0" w:line="20" w:lineRule="exact"/>
              <w:rPr>
                <w:sz w:val="1"/>
                <w:szCs w:val="1"/>
                <w:color w:val="auto"/>
              </w:rPr>
            </w:pPr>
          </w:p>
        </w:tc>
        <w:tc>
          <w:tcPr>
            <w:tcW w:w="68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84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Risk Factors</w:t>
            </w: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1B.</w:t>
            </w:r>
          </w:p>
        </w:tc>
        <w:tc>
          <w:tcPr>
            <w:tcW w:w="20" w:type="dxa"/>
            <w:vAlign w:val="bottom"/>
            <w:shd w:val="clear" w:color="auto" w:fill="313131"/>
          </w:tcPr>
          <w:p>
            <w:pPr>
              <w:spacing w:after="0" w:line="20" w:lineRule="exact"/>
              <w:rPr>
                <w:sz w:val="1"/>
                <w:szCs w:val="1"/>
                <w:color w:val="auto"/>
              </w:rPr>
            </w:pPr>
          </w:p>
        </w:tc>
        <w:tc>
          <w:tcPr>
            <w:tcW w:w="780" w:type="dxa"/>
            <w:vAlign w:val="bottom"/>
            <w:gridSpan w:val="2"/>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120" w:type="dxa"/>
            <w:vAlign w:val="bottom"/>
            <w:shd w:val="clear" w:color="auto" w:fill="31313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2280" w:type="dxa"/>
            <w:vAlign w:val="bottom"/>
            <w:gridSpan w:val="11"/>
          </w:tcPr>
          <w:p>
            <w:pPr>
              <w:spacing w:after="0" w:line="220" w:lineRule="exact"/>
              <w:rPr>
                <w:sz w:val="20"/>
                <w:szCs w:val="20"/>
                <w:color w:val="auto"/>
              </w:rPr>
            </w:pPr>
            <w:r>
              <w:rPr>
                <w:rFonts w:ascii="Times New Roman" w:cs="Times New Roman" w:eastAsia="Times New Roman" w:hAnsi="Times New Roman"/>
                <w:sz w:val="20"/>
                <w:szCs w:val="20"/>
                <w:color w:val="313131"/>
                <w:w w:val="99"/>
              </w:rPr>
              <w:t>Unresolved Staff Comments</w:t>
            </w:r>
          </w:p>
        </w:tc>
        <w:tc>
          <w:tcPr>
            <w:tcW w:w="6560" w:type="dxa"/>
            <w:vAlign w:val="bottom"/>
            <w:gridSpan w:val="9"/>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1C.</w:t>
            </w:r>
          </w:p>
        </w:tc>
        <w:tc>
          <w:tcPr>
            <w:tcW w:w="20" w:type="dxa"/>
            <w:vAlign w:val="bottom"/>
            <w:shd w:val="clear" w:color="auto" w:fill="313131"/>
          </w:tcPr>
          <w:p>
            <w:pPr>
              <w:spacing w:after="0" w:line="20" w:lineRule="exact"/>
              <w:rPr>
                <w:sz w:val="1"/>
                <w:szCs w:val="1"/>
                <w:color w:val="auto"/>
              </w:rPr>
            </w:pPr>
          </w:p>
        </w:tc>
        <w:tc>
          <w:tcPr>
            <w:tcW w:w="780" w:type="dxa"/>
            <w:vAlign w:val="bottom"/>
            <w:gridSpan w:val="2"/>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gridSpan w:val="2"/>
            <w:shd w:val="clear" w:color="auto" w:fill="313131"/>
          </w:tcPr>
          <w:p>
            <w:pPr>
              <w:spacing w:after="0" w:line="20" w:lineRule="exact"/>
              <w:rPr>
                <w:sz w:val="1"/>
                <w:szCs w:val="1"/>
                <w:color w:val="auto"/>
              </w:rPr>
            </w:pPr>
          </w:p>
        </w:tc>
        <w:tc>
          <w:tcPr>
            <w:tcW w:w="340" w:type="dxa"/>
            <w:vAlign w:val="bottom"/>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280" w:type="dxa"/>
            <w:vAlign w:val="bottom"/>
            <w:shd w:val="clear" w:color="auto" w:fill="31313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2280" w:type="dxa"/>
            <w:vAlign w:val="bottom"/>
            <w:gridSpan w:val="11"/>
          </w:tcPr>
          <w:p>
            <w:pPr>
              <w:spacing w:after="0" w:line="220" w:lineRule="exact"/>
              <w:rPr>
                <w:sz w:val="20"/>
                <w:szCs w:val="20"/>
                <w:color w:val="auto"/>
              </w:rPr>
            </w:pPr>
            <w:r>
              <w:rPr>
                <w:rFonts w:ascii="Times New Roman" w:cs="Times New Roman" w:eastAsia="Times New Roman" w:hAnsi="Times New Roman"/>
                <w:sz w:val="20"/>
                <w:szCs w:val="20"/>
                <w:color w:val="313131"/>
              </w:rPr>
              <w:t>Cybersecurity</w:t>
            </w:r>
          </w:p>
        </w:tc>
        <w:tc>
          <w:tcPr>
            <w:tcW w:w="6560" w:type="dxa"/>
            <w:vAlign w:val="bottom"/>
            <w:gridSpan w:val="9"/>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20" w:type="dxa"/>
            <w:vAlign w:val="bottom"/>
            <w:shd w:val="clear" w:color="auto" w:fill="313131"/>
          </w:tcPr>
          <w:p>
            <w:pPr>
              <w:spacing w:after="0" w:line="20" w:lineRule="exact"/>
              <w:rPr>
                <w:sz w:val="1"/>
                <w:szCs w:val="1"/>
                <w:color w:val="auto"/>
              </w:rPr>
            </w:pPr>
          </w:p>
        </w:tc>
        <w:tc>
          <w:tcPr>
            <w:tcW w:w="780" w:type="dxa"/>
            <w:vAlign w:val="bottom"/>
            <w:gridSpan w:val="2"/>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gridSpan w:val="2"/>
            <w:shd w:val="clear" w:color="auto" w:fill="31313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0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313131"/>
                <w:w w:val="93"/>
              </w:rPr>
              <w:t>Properties</w:t>
            </w:r>
          </w:p>
        </w:tc>
        <w:tc>
          <w:tcPr>
            <w:tcW w:w="320" w:type="dxa"/>
            <w:vAlign w:val="bottom"/>
            <w:gridSpan w:val="3"/>
          </w:tcPr>
          <w:p>
            <w:pPr>
              <w:spacing w:after="0"/>
              <w:rPr>
                <w:sz w:val="19"/>
                <w:szCs w:val="19"/>
                <w:color w:val="auto"/>
              </w:rPr>
            </w:pPr>
          </w:p>
        </w:tc>
        <w:tc>
          <w:tcPr>
            <w:tcW w:w="7720" w:type="dxa"/>
            <w:vAlign w:val="bottom"/>
            <w:gridSpan w:val="14"/>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20" w:type="dxa"/>
            <w:vAlign w:val="bottom"/>
            <w:shd w:val="clear" w:color="auto" w:fill="313131"/>
          </w:tcPr>
          <w:p>
            <w:pPr>
              <w:spacing w:after="0" w:line="20" w:lineRule="exact"/>
              <w:rPr>
                <w:sz w:val="1"/>
                <w:szCs w:val="1"/>
                <w:color w:val="auto"/>
              </w:rPr>
            </w:pPr>
          </w:p>
        </w:tc>
        <w:tc>
          <w:tcPr>
            <w:tcW w:w="780" w:type="dxa"/>
            <w:vAlign w:val="bottom"/>
            <w:gridSpan w:val="2"/>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84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Legal Proceedings</w:t>
            </w: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20" w:type="dxa"/>
            <w:vAlign w:val="bottom"/>
            <w:shd w:val="clear" w:color="auto" w:fill="313131"/>
          </w:tcPr>
          <w:p>
            <w:pPr>
              <w:spacing w:after="0" w:line="20" w:lineRule="exact"/>
              <w:rPr>
                <w:sz w:val="1"/>
                <w:szCs w:val="1"/>
                <w:color w:val="auto"/>
              </w:rPr>
            </w:pPr>
          </w:p>
        </w:tc>
        <w:tc>
          <w:tcPr>
            <w:tcW w:w="780" w:type="dxa"/>
            <w:vAlign w:val="bottom"/>
            <w:gridSpan w:val="2"/>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580" w:type="dxa"/>
            <w:vAlign w:val="bottom"/>
            <w:gridSpan w:val="3"/>
            <w:shd w:val="clear" w:color="auto" w:fill="313131"/>
          </w:tcPr>
          <w:p>
            <w:pPr>
              <w:spacing w:after="0" w:line="20" w:lineRule="exact"/>
              <w:rPr>
                <w:sz w:val="1"/>
                <w:szCs w:val="1"/>
                <w:color w:val="auto"/>
              </w:rPr>
            </w:pPr>
          </w:p>
        </w:tc>
        <w:tc>
          <w:tcPr>
            <w:tcW w:w="26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84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Mine Safety Disclosures</w:t>
            </w: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313131"/>
            </w:tcBorders>
          </w:tcPr>
          <w:p>
            <w:pPr>
              <w:spacing w:after="0"/>
              <w:rPr>
                <w:sz w:val="24"/>
                <w:szCs w:val="24"/>
                <w:color w:val="auto"/>
              </w:rPr>
            </w:pPr>
          </w:p>
        </w:tc>
        <w:tc>
          <w:tcPr>
            <w:tcW w:w="680" w:type="dxa"/>
            <w:vAlign w:val="bottom"/>
            <w:tcBorders>
              <w:top w:val="single" w:sz="8" w:color="313131"/>
            </w:tcBorders>
          </w:tcPr>
          <w:p>
            <w:pPr>
              <w:spacing w:after="0"/>
              <w:rPr>
                <w:sz w:val="24"/>
                <w:szCs w:val="24"/>
                <w:color w:val="auto"/>
              </w:rPr>
            </w:pPr>
          </w:p>
        </w:tc>
        <w:tc>
          <w:tcPr>
            <w:tcW w:w="100" w:type="dxa"/>
            <w:vAlign w:val="bottom"/>
            <w:tcBorders>
              <w:top w:val="single" w:sz="8" w:color="313131"/>
            </w:tcBorders>
          </w:tcPr>
          <w:p>
            <w:pPr>
              <w:spacing w:after="0"/>
              <w:rPr>
                <w:sz w:val="24"/>
                <w:szCs w:val="24"/>
                <w:color w:val="auto"/>
              </w:rPr>
            </w:pPr>
          </w:p>
        </w:tc>
        <w:tc>
          <w:tcPr>
            <w:tcW w:w="8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340" w:type="dxa"/>
            <w:vAlign w:val="bottom"/>
            <w:tcBorders>
              <w:top w:val="single" w:sz="8" w:color="313131"/>
            </w:tcBorders>
          </w:tcPr>
          <w:p>
            <w:pPr>
              <w:spacing w:after="0"/>
              <w:rPr>
                <w:sz w:val="24"/>
                <w:szCs w:val="24"/>
                <w:color w:val="auto"/>
              </w:rPr>
            </w:pPr>
          </w:p>
        </w:tc>
        <w:tc>
          <w:tcPr>
            <w:tcW w:w="260" w:type="dxa"/>
            <w:vAlign w:val="bottom"/>
            <w:tcBorders>
              <w:top w:val="single" w:sz="8" w:color="313131"/>
            </w:tcBorders>
          </w:tcPr>
          <w:p>
            <w:pPr>
              <w:spacing w:after="0"/>
              <w:rPr>
                <w:sz w:val="24"/>
                <w:szCs w:val="24"/>
                <w:color w:val="auto"/>
              </w:rPr>
            </w:pPr>
          </w:p>
        </w:tc>
        <w:tc>
          <w:tcPr>
            <w:tcW w:w="240" w:type="dxa"/>
            <w:vAlign w:val="bottom"/>
            <w:tcBorders>
              <w:top w:val="single" w:sz="8" w:color="313131"/>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60" w:type="dxa"/>
            <w:vAlign w:val="bottom"/>
            <w:gridSpan w:val="8"/>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Item 5.</w:t>
            </w:r>
          </w:p>
        </w:tc>
        <w:tc>
          <w:tcPr>
            <w:tcW w:w="20" w:type="dxa"/>
            <w:vAlign w:val="bottom"/>
          </w:tcPr>
          <w:p>
            <w:pPr>
              <w:spacing w:after="0"/>
              <w:rPr>
                <w:sz w:val="19"/>
                <w:szCs w:val="19"/>
                <w:color w:val="auto"/>
              </w:rPr>
            </w:pPr>
          </w:p>
        </w:tc>
        <w:tc>
          <w:tcPr>
            <w:tcW w:w="8820" w:type="dxa"/>
            <w:vAlign w:val="bottom"/>
            <w:tcBorders>
              <w:bottom w:val="single" w:sz="8" w:color="313131"/>
            </w:tcBorders>
            <w:gridSpan w:val="19"/>
          </w:tcPr>
          <w:p>
            <w:pPr>
              <w:spacing w:after="0" w:line="227" w:lineRule="exact"/>
              <w:rPr>
                <w:sz w:val="20"/>
                <w:szCs w:val="20"/>
                <w:color w:val="auto"/>
              </w:rPr>
            </w:pPr>
            <w:r>
              <w:rPr>
                <w:rFonts w:ascii="Times New Roman" w:cs="Times New Roman" w:eastAsia="Times New Roman" w:hAnsi="Times New Roman"/>
                <w:sz w:val="20"/>
                <w:szCs w:val="20"/>
                <w:color w:val="313131"/>
              </w:rPr>
              <w:t>Market for Registrant’s Common Equity, Related Stockholder Matters and Issuer Purchases of Equity</w:t>
            </w:r>
          </w:p>
        </w:tc>
        <w:tc>
          <w:tcPr>
            <w:tcW w:w="560" w:type="dxa"/>
            <w:vAlign w:val="bottom"/>
            <w:gridSpan w:val="7"/>
            <w:vMerge w:val="restart"/>
          </w:tcPr>
          <w:p>
            <w:pPr>
              <w:jc w:val="center"/>
              <w:ind w:left="180"/>
              <w:spacing w:after="0"/>
              <w:rPr>
                <w:sz w:val="20"/>
                <w:szCs w:val="20"/>
                <w:color w:val="auto"/>
              </w:rPr>
            </w:pPr>
            <w:r>
              <w:rPr>
                <w:rFonts w:ascii="Times New Roman" w:cs="Times New Roman" w:eastAsia="Times New Roman" w:hAnsi="Times New Roman"/>
                <w:sz w:val="20"/>
                <w:szCs w:val="20"/>
                <w:color w:val="313131"/>
                <w:w w:val="99"/>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20" w:type="dxa"/>
            <w:vAlign w:val="bottom"/>
          </w:tcPr>
          <w:p>
            <w:pPr>
              <w:spacing w:after="0"/>
              <w:rPr>
                <w:sz w:val="18"/>
                <w:szCs w:val="18"/>
                <w:color w:val="auto"/>
              </w:rPr>
            </w:pPr>
          </w:p>
        </w:tc>
        <w:tc>
          <w:tcPr>
            <w:tcW w:w="8820" w:type="dxa"/>
            <w:vAlign w:val="bottom"/>
            <w:gridSpan w:val="19"/>
          </w:tcPr>
          <w:p>
            <w:pPr>
              <w:spacing w:after="0" w:line="211" w:lineRule="exact"/>
              <w:rPr>
                <w:sz w:val="20"/>
                <w:szCs w:val="20"/>
                <w:color w:val="auto"/>
              </w:rPr>
            </w:pPr>
            <w:r>
              <w:rPr>
                <w:rFonts w:ascii="Times New Roman" w:cs="Times New Roman" w:eastAsia="Times New Roman" w:hAnsi="Times New Roman"/>
                <w:sz w:val="20"/>
                <w:szCs w:val="20"/>
                <w:color w:val="313131"/>
              </w:rPr>
              <w:t>Securities</w:t>
            </w:r>
          </w:p>
        </w:tc>
        <w:tc>
          <w:tcPr>
            <w:tcW w:w="560" w:type="dxa"/>
            <w:vAlign w:val="bottom"/>
            <w:gridSpan w:val="7"/>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31313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313131"/>
                <w:w w:val="97"/>
              </w:rPr>
              <w:t>[Reserved]</w:t>
            </w:r>
          </w:p>
        </w:tc>
        <w:tc>
          <w:tcPr>
            <w:tcW w:w="7960" w:type="dxa"/>
            <w:vAlign w:val="bottom"/>
            <w:gridSpan w:val="16"/>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7.</w:t>
            </w:r>
          </w:p>
        </w:tc>
        <w:tc>
          <w:tcPr>
            <w:tcW w:w="880" w:type="dxa"/>
            <w:vAlign w:val="bottom"/>
            <w:gridSpan w:val="4"/>
            <w:shd w:val="clear" w:color="auto" w:fill="313131"/>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7200" w:type="dxa"/>
            <w:vAlign w:val="bottom"/>
            <w:gridSpan w:val="18"/>
          </w:tcPr>
          <w:p>
            <w:pPr>
              <w:spacing w:after="0" w:line="220" w:lineRule="exact"/>
              <w:rPr>
                <w:sz w:val="20"/>
                <w:szCs w:val="20"/>
                <w:color w:val="auto"/>
              </w:rPr>
            </w:pPr>
            <w:r>
              <w:rPr>
                <w:rFonts w:ascii="Times New Roman" w:cs="Times New Roman" w:eastAsia="Times New Roman" w:hAnsi="Times New Roman"/>
                <w:sz w:val="20"/>
                <w:szCs w:val="20"/>
                <w:color w:val="313131"/>
                <w:w w:val="99"/>
              </w:rPr>
              <w:t>Management’s Discussion and Analysis of Financial Condition and Results of Operations</w:t>
            </w:r>
          </w:p>
        </w:tc>
        <w:tc>
          <w:tcPr>
            <w:tcW w:w="1640" w:type="dxa"/>
            <w:vAlign w:val="bottom"/>
            <w:gridSpan w:val="2"/>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7A.</w:t>
            </w:r>
          </w:p>
        </w:tc>
        <w:tc>
          <w:tcPr>
            <w:tcW w:w="1460" w:type="dxa"/>
            <w:vAlign w:val="bottom"/>
            <w:gridSpan w:val="7"/>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1180" w:type="dxa"/>
            <w:vAlign w:val="bottom"/>
            <w:gridSpan w:val="2"/>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440" w:type="dxa"/>
            <w:vAlign w:val="bottom"/>
            <w:tcBorders>
              <w:left w:val="single" w:sz="8" w:color="313131"/>
            </w:tcBorders>
            <w:shd w:val="clear" w:color="auto" w:fill="313131"/>
          </w:tcPr>
          <w:p>
            <w:pPr>
              <w:spacing w:after="0" w:line="20" w:lineRule="exact"/>
              <w:rPr>
                <w:sz w:val="1"/>
                <w:szCs w:val="1"/>
                <w:color w:val="auto"/>
              </w:rPr>
            </w:pPr>
          </w:p>
        </w:tc>
        <w:tc>
          <w:tcPr>
            <w:tcW w:w="780" w:type="dxa"/>
            <w:vAlign w:val="bottom"/>
            <w:shd w:val="clear" w:color="auto" w:fill="313131"/>
          </w:tcPr>
          <w:p>
            <w:pPr>
              <w:spacing w:after="0" w:line="20" w:lineRule="exact"/>
              <w:rPr>
                <w:sz w:val="1"/>
                <w:szCs w:val="1"/>
                <w:color w:val="auto"/>
              </w:rPr>
            </w:pPr>
          </w:p>
        </w:tc>
        <w:tc>
          <w:tcPr>
            <w:tcW w:w="1140" w:type="dxa"/>
            <w:vAlign w:val="bottom"/>
            <w:shd w:val="clear" w:color="auto" w:fill="31313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484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313131"/>
                <w:w w:val="99"/>
              </w:rPr>
              <w:t>Quantitative and Qualitative Disclosures About Market Risk</w:t>
            </w:r>
          </w:p>
        </w:tc>
        <w:tc>
          <w:tcPr>
            <w:tcW w:w="2360" w:type="dxa"/>
            <w:vAlign w:val="bottom"/>
            <w:gridSpan w:val="3"/>
          </w:tcPr>
          <w:p>
            <w:pPr>
              <w:spacing w:after="0"/>
              <w:rPr>
                <w:sz w:val="19"/>
                <w:szCs w:val="19"/>
                <w:color w:val="auto"/>
              </w:rPr>
            </w:pPr>
          </w:p>
        </w:tc>
        <w:tc>
          <w:tcPr>
            <w:tcW w:w="1640" w:type="dxa"/>
            <w:vAlign w:val="bottom"/>
            <w:gridSpan w:val="2"/>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8.</w:t>
            </w:r>
          </w:p>
        </w:tc>
        <w:tc>
          <w:tcPr>
            <w:tcW w:w="1460" w:type="dxa"/>
            <w:vAlign w:val="bottom"/>
            <w:gridSpan w:val="7"/>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1180" w:type="dxa"/>
            <w:vAlign w:val="bottom"/>
            <w:gridSpan w:val="2"/>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440" w:type="dxa"/>
            <w:vAlign w:val="bottom"/>
            <w:tcBorders>
              <w:left w:val="single" w:sz="8" w:color="313131"/>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484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313131"/>
                <w:w w:val="99"/>
              </w:rPr>
              <w:t>Consolidated Financial Statements and Supplementary Data</w:t>
            </w:r>
          </w:p>
        </w:tc>
        <w:tc>
          <w:tcPr>
            <w:tcW w:w="4000" w:type="dxa"/>
            <w:vAlign w:val="bottom"/>
            <w:gridSpan w:val="5"/>
          </w:tcPr>
          <w:p>
            <w:pPr>
              <w:spacing w:after="0"/>
              <w:rPr>
                <w:sz w:val="19"/>
                <w:szCs w:val="19"/>
                <w:color w:val="auto"/>
              </w:rPr>
            </w:pPr>
          </w:p>
        </w:tc>
        <w:tc>
          <w:tcPr>
            <w:tcW w:w="560" w:type="dxa"/>
            <w:vAlign w:val="bottom"/>
            <w:gridSpan w:val="7"/>
          </w:tcPr>
          <w:p>
            <w:pPr>
              <w:jc w:val="center"/>
              <w:ind w:left="180"/>
              <w:spacing w:after="0" w:line="220" w:lineRule="exact"/>
              <w:rPr>
                <w:sz w:val="20"/>
                <w:szCs w:val="20"/>
                <w:color w:val="auto"/>
              </w:rPr>
            </w:pPr>
            <w:r>
              <w:rPr>
                <w:rFonts w:ascii="Times New Roman" w:cs="Times New Roman" w:eastAsia="Times New Roman" w:hAnsi="Times New Roman"/>
                <w:sz w:val="20"/>
                <w:szCs w:val="20"/>
                <w:color w:val="313131"/>
                <w:w w:val="99"/>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9.</w:t>
            </w:r>
          </w:p>
        </w:tc>
        <w:tc>
          <w:tcPr>
            <w:tcW w:w="1460" w:type="dxa"/>
            <w:vAlign w:val="bottom"/>
            <w:gridSpan w:val="7"/>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1180" w:type="dxa"/>
            <w:vAlign w:val="bottom"/>
            <w:gridSpan w:val="2"/>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7200" w:type="dxa"/>
            <w:vAlign w:val="bottom"/>
            <w:gridSpan w:val="18"/>
          </w:tcPr>
          <w:p>
            <w:pPr>
              <w:spacing w:after="0" w:line="220" w:lineRule="exact"/>
              <w:rPr>
                <w:sz w:val="20"/>
                <w:szCs w:val="20"/>
                <w:color w:val="auto"/>
              </w:rPr>
            </w:pPr>
            <w:r>
              <w:rPr>
                <w:rFonts w:ascii="Times New Roman" w:cs="Times New Roman" w:eastAsia="Times New Roman" w:hAnsi="Times New Roman"/>
                <w:sz w:val="20"/>
                <w:szCs w:val="20"/>
                <w:color w:val="313131"/>
                <w:w w:val="99"/>
              </w:rPr>
              <w:t>Changes in and Disagreements with Accountants on Accounting and Financial Disclosure</w:t>
            </w:r>
          </w:p>
        </w:tc>
        <w:tc>
          <w:tcPr>
            <w:tcW w:w="16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101</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9A.</w:t>
            </w:r>
          </w:p>
        </w:tc>
        <w:tc>
          <w:tcPr>
            <w:tcW w:w="1460" w:type="dxa"/>
            <w:vAlign w:val="bottom"/>
            <w:gridSpan w:val="7"/>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1180" w:type="dxa"/>
            <w:vAlign w:val="bottom"/>
            <w:gridSpan w:val="2"/>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220" w:type="dxa"/>
            <w:vAlign w:val="bottom"/>
            <w:gridSpan w:val="2"/>
            <w:shd w:val="clear" w:color="auto" w:fill="313131"/>
          </w:tcPr>
          <w:p>
            <w:pPr>
              <w:spacing w:after="0" w:line="20" w:lineRule="exact"/>
              <w:rPr>
                <w:sz w:val="1"/>
                <w:szCs w:val="1"/>
                <w:color w:val="auto"/>
              </w:rPr>
            </w:pPr>
          </w:p>
        </w:tc>
        <w:tc>
          <w:tcPr>
            <w:tcW w:w="440" w:type="dxa"/>
            <w:vAlign w:val="bottom"/>
            <w:tcBorders>
              <w:left w:val="single" w:sz="8" w:color="313131"/>
            </w:tcBorders>
            <w:shd w:val="clear" w:color="auto" w:fill="313131"/>
          </w:tcPr>
          <w:p>
            <w:pPr>
              <w:spacing w:after="0" w:line="20" w:lineRule="exact"/>
              <w:rPr>
                <w:sz w:val="1"/>
                <w:szCs w:val="1"/>
                <w:color w:val="auto"/>
              </w:rPr>
            </w:pPr>
          </w:p>
        </w:tc>
        <w:tc>
          <w:tcPr>
            <w:tcW w:w="780" w:type="dxa"/>
            <w:vAlign w:val="bottom"/>
            <w:shd w:val="clear" w:color="auto" w:fill="313131"/>
          </w:tcPr>
          <w:p>
            <w:pPr>
              <w:spacing w:after="0" w:line="20" w:lineRule="exact"/>
              <w:rPr>
                <w:sz w:val="1"/>
                <w:szCs w:val="1"/>
                <w:color w:val="auto"/>
              </w:rPr>
            </w:pPr>
          </w:p>
        </w:tc>
        <w:tc>
          <w:tcPr>
            <w:tcW w:w="1140" w:type="dxa"/>
            <w:vAlign w:val="bottom"/>
            <w:shd w:val="clear" w:color="auto" w:fill="31313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7200" w:type="dxa"/>
            <w:vAlign w:val="bottom"/>
            <w:gridSpan w:val="18"/>
          </w:tcPr>
          <w:p>
            <w:pPr>
              <w:spacing w:after="0" w:line="220" w:lineRule="exact"/>
              <w:rPr>
                <w:sz w:val="20"/>
                <w:szCs w:val="20"/>
                <w:color w:val="auto"/>
              </w:rPr>
            </w:pPr>
            <w:r>
              <w:rPr>
                <w:rFonts w:ascii="Times New Roman" w:cs="Times New Roman" w:eastAsia="Times New Roman" w:hAnsi="Times New Roman"/>
                <w:sz w:val="20"/>
                <w:szCs w:val="20"/>
                <w:color w:val="313131"/>
              </w:rPr>
              <w:t>Controls and Procedures</w:t>
            </w:r>
          </w:p>
        </w:tc>
        <w:tc>
          <w:tcPr>
            <w:tcW w:w="164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101</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9B.</w:t>
            </w:r>
          </w:p>
        </w:tc>
        <w:tc>
          <w:tcPr>
            <w:tcW w:w="1460" w:type="dxa"/>
            <w:vAlign w:val="bottom"/>
            <w:gridSpan w:val="7"/>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1960" w:type="dxa"/>
            <w:vAlign w:val="bottom"/>
            <w:gridSpan w:val="9"/>
          </w:tcPr>
          <w:p>
            <w:pPr>
              <w:spacing w:after="0" w:line="220" w:lineRule="exact"/>
              <w:rPr>
                <w:sz w:val="20"/>
                <w:szCs w:val="20"/>
                <w:color w:val="auto"/>
              </w:rPr>
            </w:pPr>
            <w:r>
              <w:rPr>
                <w:rFonts w:ascii="Times New Roman" w:cs="Times New Roman" w:eastAsia="Times New Roman" w:hAnsi="Times New Roman"/>
                <w:sz w:val="20"/>
                <w:szCs w:val="20"/>
                <w:color w:val="313131"/>
              </w:rPr>
              <w:t>Other Information</w:t>
            </w:r>
          </w:p>
        </w:tc>
        <w:tc>
          <w:tcPr>
            <w:tcW w:w="6880" w:type="dxa"/>
            <w:vAlign w:val="bottom"/>
            <w:gridSpan w:val="11"/>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102</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9C.</w:t>
            </w:r>
          </w:p>
        </w:tc>
        <w:tc>
          <w:tcPr>
            <w:tcW w:w="1460" w:type="dxa"/>
            <w:vAlign w:val="bottom"/>
            <w:gridSpan w:val="7"/>
            <w:shd w:val="clear" w:color="auto" w:fill="31313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84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Disclosure Regarding Foreign Jurisdiction that Prevent Inspection</w:t>
            </w:r>
          </w:p>
        </w:tc>
        <w:tc>
          <w:tcPr>
            <w:tcW w:w="620" w:type="dxa"/>
            <w:vAlign w:val="bottom"/>
            <w:gridSpan w:val="8"/>
          </w:tcPr>
          <w:p>
            <w:pPr>
              <w:jc w:val="center"/>
              <w:ind w:left="100"/>
              <w:spacing w:after="0" w:line="220" w:lineRule="exact"/>
              <w:rPr>
                <w:sz w:val="20"/>
                <w:szCs w:val="20"/>
                <w:color w:val="auto"/>
              </w:rPr>
            </w:pPr>
            <w:r>
              <w:rPr>
                <w:rFonts w:ascii="Times New Roman" w:cs="Times New Roman" w:eastAsia="Times New Roman" w:hAnsi="Times New Roman"/>
                <w:sz w:val="20"/>
                <w:szCs w:val="20"/>
                <w:color w:val="313131"/>
                <w:w w:val="99"/>
              </w:rPr>
              <w:t>102</w:t>
            </w:r>
          </w:p>
        </w:tc>
        <w:tc>
          <w:tcPr>
            <w:tcW w:w="0" w:type="dxa"/>
            <w:vAlign w:val="bottom"/>
          </w:tcPr>
          <w:p>
            <w:pPr>
              <w:spacing w:after="0"/>
              <w:rPr>
                <w:sz w:val="1"/>
                <w:szCs w:val="1"/>
                <w:color w:val="auto"/>
              </w:rPr>
            </w:pPr>
          </w:p>
        </w:tc>
      </w:tr>
      <w:tr>
        <w:trPr>
          <w:trHeight w:val="471"/>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313131"/>
            </w:tcBorders>
          </w:tcPr>
          <w:p>
            <w:pPr>
              <w:spacing w:after="0"/>
              <w:rPr>
                <w:sz w:val="24"/>
                <w:szCs w:val="24"/>
                <w:color w:val="auto"/>
              </w:rPr>
            </w:pPr>
          </w:p>
        </w:tc>
        <w:tc>
          <w:tcPr>
            <w:tcW w:w="680" w:type="dxa"/>
            <w:vAlign w:val="bottom"/>
            <w:tcBorders>
              <w:top w:val="single" w:sz="8" w:color="313131"/>
            </w:tcBorders>
          </w:tcPr>
          <w:p>
            <w:pPr>
              <w:spacing w:after="0"/>
              <w:rPr>
                <w:sz w:val="24"/>
                <w:szCs w:val="24"/>
                <w:color w:val="auto"/>
              </w:rPr>
            </w:pPr>
          </w:p>
        </w:tc>
        <w:tc>
          <w:tcPr>
            <w:tcW w:w="100" w:type="dxa"/>
            <w:vAlign w:val="bottom"/>
            <w:tcBorders>
              <w:top w:val="single" w:sz="8" w:color="313131"/>
            </w:tcBorders>
          </w:tcPr>
          <w:p>
            <w:pPr>
              <w:spacing w:after="0"/>
              <w:rPr>
                <w:sz w:val="24"/>
                <w:szCs w:val="24"/>
                <w:color w:val="auto"/>
              </w:rPr>
            </w:pPr>
          </w:p>
        </w:tc>
        <w:tc>
          <w:tcPr>
            <w:tcW w:w="8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340" w:type="dxa"/>
            <w:vAlign w:val="bottom"/>
            <w:tcBorders>
              <w:top w:val="single" w:sz="8" w:color="313131"/>
            </w:tcBorders>
          </w:tcPr>
          <w:p>
            <w:pPr>
              <w:spacing w:after="0"/>
              <w:rPr>
                <w:sz w:val="24"/>
                <w:szCs w:val="24"/>
                <w:color w:val="auto"/>
              </w:rPr>
            </w:pPr>
          </w:p>
        </w:tc>
        <w:tc>
          <w:tcPr>
            <w:tcW w:w="260" w:type="dxa"/>
            <w:vAlign w:val="bottom"/>
            <w:tcBorders>
              <w:top w:val="single" w:sz="8" w:color="313131"/>
            </w:tcBorders>
          </w:tcPr>
          <w:p>
            <w:pPr>
              <w:spacing w:after="0"/>
              <w:rPr>
                <w:sz w:val="24"/>
                <w:szCs w:val="24"/>
                <w:color w:val="auto"/>
              </w:rPr>
            </w:pPr>
          </w:p>
        </w:tc>
        <w:tc>
          <w:tcPr>
            <w:tcW w:w="24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280" w:type="dxa"/>
            <w:vAlign w:val="bottom"/>
            <w:tcBorders>
              <w:top w:val="single" w:sz="8" w:color="313131"/>
            </w:tcBorders>
          </w:tcPr>
          <w:p>
            <w:pPr>
              <w:spacing w:after="0"/>
              <w:rPr>
                <w:sz w:val="24"/>
                <w:szCs w:val="24"/>
                <w:color w:val="auto"/>
              </w:rPr>
            </w:pPr>
          </w:p>
        </w:tc>
        <w:tc>
          <w:tcPr>
            <w:tcW w:w="900" w:type="dxa"/>
            <w:vAlign w:val="bottom"/>
            <w:tcBorders>
              <w:top w:val="single" w:sz="8" w:color="313131"/>
            </w:tcBorders>
          </w:tcPr>
          <w:p>
            <w:pPr>
              <w:spacing w:after="0"/>
              <w:rPr>
                <w:sz w:val="24"/>
                <w:szCs w:val="24"/>
                <w:color w:val="auto"/>
              </w:rPr>
            </w:pPr>
          </w:p>
        </w:tc>
        <w:tc>
          <w:tcPr>
            <w:tcW w:w="2100" w:type="dxa"/>
            <w:vAlign w:val="bottom"/>
            <w:tcBorders>
              <w:top w:val="single" w:sz="8" w:color="313131"/>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35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Item 10.</w:t>
            </w:r>
          </w:p>
        </w:tc>
        <w:tc>
          <w:tcPr>
            <w:tcW w:w="4840" w:type="dxa"/>
            <w:vAlign w:val="bottom"/>
            <w:gridSpan w:val="15"/>
          </w:tcPr>
          <w:p>
            <w:pPr>
              <w:spacing w:after="0" w:line="227" w:lineRule="exact"/>
              <w:rPr>
                <w:sz w:val="20"/>
                <w:szCs w:val="20"/>
                <w:color w:val="auto"/>
              </w:rPr>
            </w:pPr>
            <w:r>
              <w:rPr>
                <w:rFonts w:ascii="Times New Roman" w:cs="Times New Roman" w:eastAsia="Times New Roman" w:hAnsi="Times New Roman"/>
                <w:sz w:val="20"/>
                <w:szCs w:val="20"/>
                <w:color w:val="313131"/>
                <w:w w:val="99"/>
              </w:rPr>
              <w:t>Directors and Executive Officers and Corporate Governance</w:t>
            </w:r>
          </w:p>
        </w:tc>
        <w:tc>
          <w:tcPr>
            <w:tcW w:w="4000" w:type="dxa"/>
            <w:vAlign w:val="bottom"/>
            <w:gridSpan w:val="5"/>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7" w:lineRule="exact"/>
              <w:rPr>
                <w:sz w:val="20"/>
                <w:szCs w:val="20"/>
                <w:color w:val="auto"/>
              </w:rPr>
            </w:pPr>
            <w:r>
              <w:rPr>
                <w:rFonts w:ascii="Times New Roman" w:cs="Times New Roman" w:eastAsia="Times New Roman" w:hAnsi="Times New Roman"/>
                <w:sz w:val="20"/>
                <w:szCs w:val="20"/>
                <w:color w:val="313131"/>
                <w:w w:val="99"/>
              </w:rPr>
              <w:t>102</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11.</w:t>
            </w:r>
          </w:p>
        </w:tc>
        <w:tc>
          <w:tcPr>
            <w:tcW w:w="1720" w:type="dxa"/>
            <w:vAlign w:val="bottom"/>
            <w:gridSpan w:val="8"/>
            <w:shd w:val="clear" w:color="auto" w:fill="313131"/>
          </w:tcPr>
          <w:p>
            <w:pPr>
              <w:spacing w:after="0" w:line="20" w:lineRule="exact"/>
              <w:rPr>
                <w:sz w:val="1"/>
                <w:szCs w:val="1"/>
                <w:color w:val="auto"/>
              </w:rPr>
            </w:pPr>
          </w:p>
        </w:tc>
        <w:tc>
          <w:tcPr>
            <w:tcW w:w="280" w:type="dxa"/>
            <w:vAlign w:val="bottom"/>
            <w:gridSpan w:val="2"/>
            <w:shd w:val="clear" w:color="auto" w:fill="313131"/>
          </w:tcPr>
          <w:p>
            <w:pPr>
              <w:spacing w:after="0" w:line="20" w:lineRule="exact"/>
              <w:rPr>
                <w:sz w:val="1"/>
                <w:szCs w:val="1"/>
                <w:color w:val="auto"/>
              </w:rPr>
            </w:pPr>
          </w:p>
        </w:tc>
        <w:tc>
          <w:tcPr>
            <w:tcW w:w="1180" w:type="dxa"/>
            <w:vAlign w:val="bottom"/>
            <w:gridSpan w:val="2"/>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220" w:type="dxa"/>
            <w:vAlign w:val="bottom"/>
            <w:gridSpan w:val="2"/>
            <w:shd w:val="clear" w:color="auto" w:fill="313131"/>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4840" w:type="dxa"/>
            <w:vAlign w:val="bottom"/>
            <w:gridSpan w:val="15"/>
          </w:tcPr>
          <w:p>
            <w:pPr>
              <w:spacing w:after="0" w:line="220" w:lineRule="exact"/>
              <w:rPr>
                <w:sz w:val="20"/>
                <w:szCs w:val="20"/>
                <w:color w:val="auto"/>
              </w:rPr>
            </w:pPr>
            <w:r>
              <w:rPr>
                <w:rFonts w:ascii="Times New Roman" w:cs="Times New Roman" w:eastAsia="Times New Roman" w:hAnsi="Times New Roman"/>
                <w:sz w:val="20"/>
                <w:szCs w:val="20"/>
                <w:color w:val="313131"/>
              </w:rPr>
              <w:t>Executive Compensation</w:t>
            </w:r>
          </w:p>
        </w:tc>
        <w:tc>
          <w:tcPr>
            <w:tcW w:w="4000" w:type="dxa"/>
            <w:vAlign w:val="bottom"/>
            <w:gridSpan w:val="5"/>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12.</w:t>
            </w:r>
          </w:p>
        </w:tc>
        <w:tc>
          <w:tcPr>
            <w:tcW w:w="1720" w:type="dxa"/>
            <w:vAlign w:val="bottom"/>
            <w:gridSpan w:val="8"/>
            <w:shd w:val="clear" w:color="auto" w:fill="313131"/>
          </w:tcPr>
          <w:p>
            <w:pPr>
              <w:spacing w:after="0" w:line="20" w:lineRule="exact"/>
              <w:rPr>
                <w:sz w:val="1"/>
                <w:szCs w:val="1"/>
                <w:color w:val="auto"/>
              </w:rPr>
            </w:pPr>
          </w:p>
        </w:tc>
        <w:tc>
          <w:tcPr>
            <w:tcW w:w="280" w:type="dxa"/>
            <w:vAlign w:val="bottom"/>
            <w:gridSpan w:val="2"/>
            <w:shd w:val="clear" w:color="auto" w:fill="313131"/>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100" w:type="dxa"/>
            <w:vAlign w:val="bottom"/>
            <w:gridSpan w:val="19"/>
          </w:tcPr>
          <w:p>
            <w:pPr>
              <w:spacing w:after="0" w:line="220" w:lineRule="exact"/>
              <w:rPr>
                <w:sz w:val="20"/>
                <w:szCs w:val="20"/>
                <w:color w:val="auto"/>
              </w:rPr>
            </w:pPr>
            <w:r>
              <w:rPr>
                <w:rFonts w:ascii="Times New Roman" w:cs="Times New Roman" w:eastAsia="Times New Roman" w:hAnsi="Times New Roman"/>
                <w:sz w:val="20"/>
                <w:szCs w:val="20"/>
                <w:color w:val="313131"/>
                <w:w w:val="99"/>
              </w:rPr>
              <w:t>Security Ownership of Certain Beneficial Owners and Management and Related Stockholder Matters</w:t>
            </w:r>
          </w:p>
        </w:tc>
        <w:tc>
          <w:tcPr>
            <w:tcW w:w="7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104</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13.</w:t>
            </w:r>
          </w:p>
        </w:tc>
        <w:tc>
          <w:tcPr>
            <w:tcW w:w="1720" w:type="dxa"/>
            <w:vAlign w:val="bottom"/>
            <w:gridSpan w:val="8"/>
            <w:shd w:val="clear" w:color="auto" w:fill="313131"/>
          </w:tcPr>
          <w:p>
            <w:pPr>
              <w:spacing w:after="0" w:line="20" w:lineRule="exact"/>
              <w:rPr>
                <w:sz w:val="1"/>
                <w:szCs w:val="1"/>
                <w:color w:val="auto"/>
              </w:rPr>
            </w:pPr>
          </w:p>
        </w:tc>
        <w:tc>
          <w:tcPr>
            <w:tcW w:w="1460" w:type="dxa"/>
            <w:vAlign w:val="bottom"/>
            <w:gridSpan w:val="4"/>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1440" w:type="dxa"/>
            <w:vAlign w:val="bottom"/>
            <w:gridSpan w:val="4"/>
            <w:shd w:val="clear" w:color="auto" w:fill="313131"/>
          </w:tcPr>
          <w:p>
            <w:pPr>
              <w:spacing w:after="0" w:line="20" w:lineRule="exact"/>
              <w:rPr>
                <w:sz w:val="1"/>
                <w:szCs w:val="1"/>
                <w:color w:val="auto"/>
              </w:rPr>
            </w:pPr>
          </w:p>
        </w:tc>
        <w:tc>
          <w:tcPr>
            <w:tcW w:w="2040" w:type="dxa"/>
            <w:vAlign w:val="bottom"/>
            <w:gridSpan w:val="2"/>
            <w:shd w:val="clear" w:color="auto" w:fill="31313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8100" w:type="dxa"/>
            <w:vAlign w:val="bottom"/>
            <w:gridSpan w:val="19"/>
          </w:tcPr>
          <w:p>
            <w:pPr>
              <w:spacing w:after="0" w:line="221" w:lineRule="exact"/>
              <w:rPr>
                <w:sz w:val="20"/>
                <w:szCs w:val="20"/>
                <w:color w:val="auto"/>
              </w:rPr>
            </w:pPr>
            <w:r>
              <w:rPr>
                <w:rFonts w:ascii="Times New Roman" w:cs="Times New Roman" w:eastAsia="Times New Roman" w:hAnsi="Times New Roman"/>
                <w:sz w:val="20"/>
                <w:szCs w:val="20"/>
                <w:color w:val="313131"/>
              </w:rPr>
              <w:t>Certain Relationships and Related Transactions, and Director Independence</w:t>
            </w:r>
          </w:p>
        </w:tc>
        <w:tc>
          <w:tcPr>
            <w:tcW w:w="7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1" w:lineRule="exact"/>
              <w:rPr>
                <w:sz w:val="20"/>
                <w:szCs w:val="20"/>
                <w:color w:val="auto"/>
              </w:rPr>
            </w:pPr>
            <w:r>
              <w:rPr>
                <w:rFonts w:ascii="Times New Roman" w:cs="Times New Roman" w:eastAsia="Times New Roman" w:hAnsi="Times New Roman"/>
                <w:sz w:val="20"/>
                <w:szCs w:val="20"/>
                <w:color w:val="313131"/>
                <w:w w:val="99"/>
              </w:rPr>
              <w:t>105</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14.</w:t>
            </w:r>
          </w:p>
        </w:tc>
        <w:tc>
          <w:tcPr>
            <w:tcW w:w="1720" w:type="dxa"/>
            <w:vAlign w:val="bottom"/>
            <w:gridSpan w:val="8"/>
            <w:shd w:val="clear" w:color="auto" w:fill="313131"/>
          </w:tcPr>
          <w:p>
            <w:pPr>
              <w:spacing w:after="0" w:line="20" w:lineRule="exact"/>
              <w:rPr>
                <w:sz w:val="1"/>
                <w:szCs w:val="1"/>
                <w:color w:val="auto"/>
              </w:rPr>
            </w:pPr>
          </w:p>
        </w:tc>
        <w:tc>
          <w:tcPr>
            <w:tcW w:w="1460" w:type="dxa"/>
            <w:vAlign w:val="bottom"/>
            <w:gridSpan w:val="4"/>
            <w:shd w:val="clear" w:color="auto" w:fill="313131"/>
          </w:tcPr>
          <w:p>
            <w:pPr>
              <w:spacing w:after="0" w:line="20" w:lineRule="exact"/>
              <w:rPr>
                <w:sz w:val="1"/>
                <w:szCs w:val="1"/>
                <w:color w:val="auto"/>
              </w:rPr>
            </w:pPr>
          </w:p>
        </w:tc>
        <w:tc>
          <w:tcPr>
            <w:tcW w:w="1440" w:type="dxa"/>
            <w:vAlign w:val="bottom"/>
            <w:shd w:val="clear" w:color="auto" w:fill="313131"/>
          </w:tcPr>
          <w:p>
            <w:pPr>
              <w:spacing w:after="0" w:line="20" w:lineRule="exact"/>
              <w:rPr>
                <w:sz w:val="1"/>
                <w:szCs w:val="1"/>
                <w:color w:val="auto"/>
              </w:rPr>
            </w:pPr>
          </w:p>
        </w:tc>
        <w:tc>
          <w:tcPr>
            <w:tcW w:w="1440" w:type="dxa"/>
            <w:vAlign w:val="bottom"/>
            <w:gridSpan w:val="4"/>
            <w:shd w:val="clear" w:color="auto" w:fill="313131"/>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606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313131"/>
              </w:rPr>
              <w:t>Principal Accountant Fees and Services</w:t>
            </w:r>
          </w:p>
        </w:tc>
        <w:tc>
          <w:tcPr>
            <w:tcW w:w="2780" w:type="dxa"/>
            <w:vAlign w:val="bottom"/>
            <w:gridSpan w:val="3"/>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105</w:t>
            </w: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313131"/>
            </w:tcBorders>
          </w:tcPr>
          <w:p>
            <w:pPr>
              <w:spacing w:after="0"/>
              <w:rPr>
                <w:sz w:val="24"/>
                <w:szCs w:val="24"/>
                <w:color w:val="auto"/>
              </w:rPr>
            </w:pPr>
          </w:p>
        </w:tc>
        <w:tc>
          <w:tcPr>
            <w:tcW w:w="680" w:type="dxa"/>
            <w:vAlign w:val="bottom"/>
            <w:tcBorders>
              <w:top w:val="single" w:sz="8" w:color="313131"/>
            </w:tcBorders>
          </w:tcPr>
          <w:p>
            <w:pPr>
              <w:spacing w:after="0"/>
              <w:rPr>
                <w:sz w:val="24"/>
                <w:szCs w:val="24"/>
                <w:color w:val="auto"/>
              </w:rPr>
            </w:pPr>
          </w:p>
        </w:tc>
        <w:tc>
          <w:tcPr>
            <w:tcW w:w="100" w:type="dxa"/>
            <w:vAlign w:val="bottom"/>
            <w:tcBorders>
              <w:top w:val="single" w:sz="8" w:color="313131"/>
            </w:tcBorders>
          </w:tcPr>
          <w:p>
            <w:pPr>
              <w:spacing w:after="0"/>
              <w:rPr>
                <w:sz w:val="24"/>
                <w:szCs w:val="24"/>
                <w:color w:val="auto"/>
              </w:rPr>
            </w:pPr>
          </w:p>
        </w:tc>
        <w:tc>
          <w:tcPr>
            <w:tcW w:w="8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340" w:type="dxa"/>
            <w:vAlign w:val="bottom"/>
            <w:tcBorders>
              <w:top w:val="single" w:sz="8" w:color="313131"/>
            </w:tcBorders>
          </w:tcPr>
          <w:p>
            <w:pPr>
              <w:spacing w:after="0"/>
              <w:rPr>
                <w:sz w:val="24"/>
                <w:szCs w:val="24"/>
                <w:color w:val="auto"/>
              </w:rPr>
            </w:pPr>
          </w:p>
        </w:tc>
        <w:tc>
          <w:tcPr>
            <w:tcW w:w="260" w:type="dxa"/>
            <w:vAlign w:val="bottom"/>
            <w:tcBorders>
              <w:top w:val="single" w:sz="8" w:color="313131"/>
            </w:tcBorders>
          </w:tcPr>
          <w:p>
            <w:pPr>
              <w:spacing w:after="0"/>
              <w:rPr>
                <w:sz w:val="24"/>
                <w:szCs w:val="24"/>
                <w:color w:val="auto"/>
              </w:rPr>
            </w:pPr>
          </w:p>
        </w:tc>
        <w:tc>
          <w:tcPr>
            <w:tcW w:w="24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280" w:type="dxa"/>
            <w:vAlign w:val="bottom"/>
            <w:tcBorders>
              <w:top w:val="single" w:sz="8" w:color="313131"/>
            </w:tcBorders>
          </w:tcPr>
          <w:p>
            <w:pPr>
              <w:spacing w:after="0"/>
              <w:rPr>
                <w:sz w:val="24"/>
                <w:szCs w:val="24"/>
                <w:color w:val="auto"/>
              </w:rPr>
            </w:pPr>
          </w:p>
        </w:tc>
        <w:tc>
          <w:tcPr>
            <w:tcW w:w="900" w:type="dxa"/>
            <w:vAlign w:val="bottom"/>
            <w:tcBorders>
              <w:top w:val="single" w:sz="8" w:color="313131"/>
            </w:tcBorders>
          </w:tcPr>
          <w:p>
            <w:pPr>
              <w:spacing w:after="0"/>
              <w:rPr>
                <w:sz w:val="24"/>
                <w:szCs w:val="24"/>
                <w:color w:val="auto"/>
              </w:rPr>
            </w:pPr>
          </w:p>
        </w:tc>
        <w:tc>
          <w:tcPr>
            <w:tcW w:w="5660" w:type="dxa"/>
            <w:vAlign w:val="bottom"/>
            <w:gridSpan w:val="8"/>
          </w:tcPr>
          <w:p>
            <w:pPr>
              <w:jc w:val="center"/>
              <w:ind w:right="3460"/>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2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Item 15.</w:t>
            </w:r>
          </w:p>
        </w:tc>
        <w:tc>
          <w:tcPr>
            <w:tcW w:w="4620" w:type="dxa"/>
            <w:vAlign w:val="bottom"/>
            <w:gridSpan w:val="13"/>
          </w:tcPr>
          <w:p>
            <w:pPr>
              <w:spacing w:after="0" w:line="227" w:lineRule="exact"/>
              <w:rPr>
                <w:sz w:val="20"/>
                <w:szCs w:val="20"/>
                <w:color w:val="auto"/>
              </w:rPr>
            </w:pPr>
            <w:r>
              <w:rPr>
                <w:rFonts w:ascii="Times New Roman" w:cs="Times New Roman" w:eastAsia="Times New Roman" w:hAnsi="Times New Roman"/>
                <w:sz w:val="20"/>
                <w:szCs w:val="20"/>
                <w:color w:val="313131"/>
                <w:w w:val="99"/>
              </w:rPr>
              <w:t>Exhibits and Consolidated Financial Statement Schedules</w:t>
            </w:r>
          </w:p>
        </w:tc>
        <w:tc>
          <w:tcPr>
            <w:tcW w:w="4220" w:type="dxa"/>
            <w:vAlign w:val="bottom"/>
            <w:gridSpan w:val="7"/>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7" w:lineRule="exact"/>
              <w:rPr>
                <w:sz w:val="20"/>
                <w:szCs w:val="20"/>
                <w:color w:val="auto"/>
              </w:rPr>
            </w:pPr>
            <w:r>
              <w:rPr>
                <w:rFonts w:ascii="Times New Roman" w:cs="Times New Roman" w:eastAsia="Times New Roman" w:hAnsi="Times New Roman"/>
                <w:sz w:val="20"/>
                <w:szCs w:val="20"/>
                <w:color w:val="313131"/>
                <w:w w:val="99"/>
              </w:rPr>
              <w:t>105</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Item 16.</w:t>
            </w:r>
          </w:p>
        </w:tc>
        <w:tc>
          <w:tcPr>
            <w:tcW w:w="1720" w:type="dxa"/>
            <w:vAlign w:val="bottom"/>
            <w:gridSpan w:val="8"/>
            <w:shd w:val="clear" w:color="auto" w:fill="313131"/>
          </w:tcPr>
          <w:p>
            <w:pPr>
              <w:spacing w:after="0" w:line="20" w:lineRule="exact"/>
              <w:rPr>
                <w:sz w:val="1"/>
                <w:szCs w:val="1"/>
                <w:color w:val="auto"/>
              </w:rPr>
            </w:pPr>
          </w:p>
        </w:tc>
        <w:tc>
          <w:tcPr>
            <w:tcW w:w="2900" w:type="dxa"/>
            <w:vAlign w:val="bottom"/>
            <w:gridSpan w:val="5"/>
            <w:shd w:val="clear" w:color="auto" w:fill="313131"/>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462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Form 10-K Summary</w:t>
            </w:r>
          </w:p>
        </w:tc>
        <w:tc>
          <w:tcPr>
            <w:tcW w:w="4220" w:type="dxa"/>
            <w:vAlign w:val="bottom"/>
            <w:gridSpan w:val="7"/>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107</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313131"/>
              </w:rPr>
              <w:t>Signatures</w:t>
            </w:r>
          </w:p>
        </w:tc>
        <w:tc>
          <w:tcPr>
            <w:tcW w:w="20" w:type="dxa"/>
            <w:vAlign w:val="bottom"/>
            <w:shd w:val="clear" w:color="auto" w:fill="313131"/>
          </w:tcPr>
          <w:p>
            <w:pPr>
              <w:spacing w:after="0" w:line="20" w:lineRule="exact"/>
              <w:rPr>
                <w:sz w:val="1"/>
                <w:szCs w:val="1"/>
                <w:color w:val="auto"/>
              </w:rPr>
            </w:pPr>
          </w:p>
        </w:tc>
        <w:tc>
          <w:tcPr>
            <w:tcW w:w="680" w:type="dxa"/>
            <w:vAlign w:val="bottom"/>
            <w:shd w:val="clear" w:color="auto" w:fill="313131"/>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120" w:type="dxa"/>
            <w:vAlign w:val="bottom"/>
            <w:shd w:val="clear" w:color="auto" w:fill="313131"/>
          </w:tcPr>
          <w:p>
            <w:pPr>
              <w:spacing w:after="0" w:line="20" w:lineRule="exact"/>
              <w:rPr>
                <w:sz w:val="1"/>
                <w:szCs w:val="1"/>
                <w:color w:val="auto"/>
              </w:rPr>
            </w:pPr>
          </w:p>
        </w:tc>
        <w:tc>
          <w:tcPr>
            <w:tcW w:w="120" w:type="dxa"/>
            <w:vAlign w:val="bottom"/>
            <w:shd w:val="clear" w:color="auto" w:fill="313131"/>
          </w:tcPr>
          <w:p>
            <w:pPr>
              <w:spacing w:after="0" w:line="20" w:lineRule="exact"/>
              <w:rPr>
                <w:sz w:val="1"/>
                <w:szCs w:val="1"/>
                <w:color w:val="auto"/>
              </w:rPr>
            </w:pPr>
          </w:p>
        </w:tc>
        <w:tc>
          <w:tcPr>
            <w:tcW w:w="340" w:type="dxa"/>
            <w:vAlign w:val="bottom"/>
            <w:shd w:val="clear" w:color="auto" w:fill="313131"/>
          </w:tcPr>
          <w:p>
            <w:pPr>
              <w:spacing w:after="0" w:line="20" w:lineRule="exact"/>
              <w:rPr>
                <w:sz w:val="1"/>
                <w:szCs w:val="1"/>
                <w:color w:val="auto"/>
              </w:rPr>
            </w:pPr>
          </w:p>
        </w:tc>
        <w:tc>
          <w:tcPr>
            <w:tcW w:w="26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5"/>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gridSpan w:val="6"/>
          </w:tcPr>
          <w:p>
            <w:pPr>
              <w:jc w:val="center"/>
              <w:ind w:right="60"/>
              <w:spacing w:after="0" w:line="220" w:lineRule="exact"/>
              <w:rPr>
                <w:sz w:val="20"/>
                <w:szCs w:val="20"/>
                <w:color w:val="auto"/>
              </w:rPr>
            </w:pPr>
            <w:r>
              <w:rPr>
                <w:rFonts w:ascii="Times New Roman" w:cs="Times New Roman" w:eastAsia="Times New Roman" w:hAnsi="Times New Roman"/>
                <w:sz w:val="20"/>
                <w:szCs w:val="20"/>
                <w:color w:val="313131"/>
                <w:w w:val="99"/>
              </w:rPr>
              <w:t>108</w:t>
            </w:r>
          </w:p>
        </w:tc>
        <w:tc>
          <w:tcPr>
            <w:tcW w:w="0" w:type="dxa"/>
            <w:vAlign w:val="bottom"/>
          </w:tcPr>
          <w:p>
            <w:pPr>
              <w:spacing w:after="0"/>
              <w:rPr>
                <w:sz w:val="1"/>
                <w:szCs w:val="1"/>
                <w:color w:val="auto"/>
              </w:rPr>
            </w:pPr>
          </w:p>
        </w:tc>
      </w:tr>
      <w:tr>
        <w:trPr>
          <w:trHeight w:val="484"/>
        </w:trPr>
        <w:tc>
          <w:tcPr>
            <w:tcW w:w="860" w:type="dxa"/>
            <w:vAlign w:val="bottom"/>
            <w:tcBorders>
              <w:top w:val="single" w:sz="8" w:color="313131"/>
            </w:tcBorders>
          </w:tcPr>
          <w:p>
            <w:pPr>
              <w:spacing w:after="0"/>
              <w:rPr>
                <w:sz w:val="24"/>
                <w:szCs w:val="24"/>
                <w:color w:val="auto"/>
              </w:rPr>
            </w:pPr>
          </w:p>
        </w:tc>
        <w:tc>
          <w:tcPr>
            <w:tcW w:w="260" w:type="dxa"/>
            <w:vAlign w:val="bottom"/>
          </w:tcPr>
          <w:p>
            <w:pPr>
              <w:spacing w:after="0"/>
              <w:rPr>
                <w:sz w:val="24"/>
                <w:szCs w:val="24"/>
                <w:color w:val="auto"/>
              </w:rPr>
            </w:pPr>
          </w:p>
        </w:tc>
        <w:tc>
          <w:tcPr>
            <w:tcW w:w="4620" w:type="dxa"/>
            <w:vAlign w:val="bottom"/>
            <w:gridSpan w:val="13"/>
          </w:tcPr>
          <w:p>
            <w:pPr>
              <w:jc w:val="center"/>
              <w:ind w:left="3860"/>
              <w:spacing w:after="0"/>
              <w:rPr>
                <w:sz w:val="20"/>
                <w:szCs w:val="20"/>
                <w:color w:val="auto"/>
              </w:rPr>
            </w:pPr>
            <w:r>
              <w:rPr>
                <w:rFonts w:ascii="Times New Roman" w:cs="Times New Roman" w:eastAsia="Times New Roman" w:hAnsi="Times New Roman"/>
                <w:sz w:val="20"/>
                <w:szCs w:val="20"/>
                <w:color w:val="auto"/>
                <w:w w:val="99"/>
              </w:rPr>
              <w:t>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12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40" w:type="dxa"/>
            <w:vAlign w:val="bottom"/>
            <w:tcBorders>
              <w:top w:val="single" w:sz="8" w:color="313131"/>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3 / 117</w:t>
      </w:r>
    </w:p>
    <w:p>
      <w:pPr>
        <w:sectPr>
          <w:pgSz w:w="12240" w:h="15840" w:orient="portrait"/>
          <w:cols w:equalWidth="0" w:num="1">
            <w:col w:w="10580"/>
          </w:cols>
          <w:pgMar w:left="720" w:top="1060" w:right="940" w:bottom="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 AND NOTICES</w:t>
      </w:r>
    </w:p>
    <w:p>
      <w:pPr>
        <w:spacing w:after="0" w:line="235" w:lineRule="exact"/>
        <w:rPr>
          <w:sz w:val="20"/>
          <w:szCs w:val="20"/>
          <w:color w:val="auto"/>
        </w:rPr>
      </w:pPr>
    </w:p>
    <w:p>
      <w:pPr>
        <w:jc w:val="both"/>
        <w:ind w:left="20" w:firstLine="360"/>
        <w:spacing w:after="0" w:line="265" w:lineRule="auto"/>
        <w:rPr>
          <w:sz w:val="20"/>
          <w:szCs w:val="20"/>
          <w:color w:val="auto"/>
        </w:rPr>
      </w:pPr>
      <w:r>
        <w:rPr>
          <w:rFonts w:ascii="Times New Roman" w:cs="Times New Roman" w:eastAsia="Times New Roman" w:hAnsi="Times New Roman"/>
          <w:sz w:val="19"/>
          <w:szCs w:val="19"/>
          <w:color w:val="auto"/>
        </w:rPr>
        <w:t>This Annual Report on Form 10-K, including the portions of our definitive Proxy Statement incorporated by reference herein, contains certain statements that are considered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“should,” “will” and “would” or the negatives of these terms or other comparable terminology.</w:t>
      </w:r>
    </w:p>
    <w:p>
      <w:pPr>
        <w:spacing w:after="0" w:line="174" w:lineRule="exact"/>
        <w:rPr>
          <w:sz w:val="20"/>
          <w:szCs w:val="20"/>
          <w:color w:val="auto"/>
        </w:rPr>
      </w:pPr>
    </w:p>
    <w:p>
      <w:pPr>
        <w:ind w:right="40" w:firstLine="360"/>
        <w:spacing w:after="0" w:line="251" w:lineRule="auto"/>
        <w:rPr>
          <w:sz w:val="20"/>
          <w:szCs w:val="20"/>
          <w:color w:val="auto"/>
        </w:rPr>
      </w:pPr>
      <w:r>
        <w:rPr>
          <w:rFonts w:ascii="Times New Roman" w:cs="Times New Roman" w:eastAsia="Times New Roman" w:hAnsi="Times New Roman"/>
          <w:sz w:val="20"/>
          <w:szCs w:val="20"/>
          <w:color w:val="auto"/>
        </w:rPr>
        <w:t>The forward-looking statements are based on our beliefs, assumptions and expectations of our future performance, taking into account all information currently available to us. Forward-looking statements involve risks and uncertainties and our actual results and the timing of events may differ significantly from the results discussed in the forward-looking statements. Examples of such forward-looking statements include, but are not limited to statements about:</w:t>
      </w:r>
    </w:p>
    <w:p>
      <w:pPr>
        <w:spacing w:after="0" w:line="192" w:lineRule="exact"/>
        <w:rPr>
          <w:sz w:val="20"/>
          <w:szCs w:val="20"/>
          <w:color w:val="auto"/>
        </w:rPr>
      </w:pPr>
    </w:p>
    <w:p>
      <w:pPr>
        <w:ind w:left="760" w:right="120" w:hanging="370"/>
        <w:spacing w:after="0" w:line="252"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conduct of our planned and future potential clinical trials and studies for Simufilam in Tuberous Sclerosis Complex (TSC) and additional indications, including the timing of initiation, enrollment and completion of the trials and the period during which the results of the trials will become available;</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safety profile or treatment benefits, if any, of simufilam;</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conduct planned preclinical studies of simufilam relating to epilepsy in TSC;</w:t>
      </w:r>
    </w:p>
    <w:p>
      <w:pPr>
        <w:spacing w:after="0" w:line="10" w:lineRule="exact"/>
        <w:rPr>
          <w:rFonts w:ascii="Times New Roman" w:cs="Times New Roman" w:eastAsia="Times New Roman" w:hAnsi="Times New Roman"/>
          <w:sz w:val="20"/>
          <w:szCs w:val="20"/>
          <w:color w:val="auto"/>
        </w:rPr>
      </w:pPr>
    </w:p>
    <w:p>
      <w:pPr>
        <w:ind w:left="760" w:right="220" w:hanging="370"/>
        <w:spacing w:after="0" w:line="181" w:lineRule="auto"/>
        <w:tabs>
          <w:tab w:leader="none" w:pos="760" w:val="left"/>
        </w:tabs>
        <w:numPr>
          <w:ilvl w:val="0"/>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our ability to initiate, conduct or analyze additional clinical and non-clinical studies with our product candidates targeted at central nervous system disorders, including TSC-related epilepsy;</w:t>
      </w:r>
    </w:p>
    <w:p>
      <w:pPr>
        <w:spacing w:after="0" w:line="2" w:lineRule="exact"/>
        <w:rPr>
          <w:rFonts w:ascii="Times New Roman" w:cs="Times New Roman" w:eastAsia="Times New Roman" w:hAnsi="Times New Roman"/>
          <w:sz w:val="36"/>
          <w:szCs w:val="36"/>
          <w:color w:val="auto"/>
          <w:vertAlign w:val="subscript"/>
        </w:rPr>
      </w:pPr>
    </w:p>
    <w:p>
      <w:pPr>
        <w:ind w:left="760" w:right="280" w:hanging="370"/>
        <w:spacing w:after="0" w:line="180" w:lineRule="auto"/>
        <w:tabs>
          <w:tab w:leader="none" w:pos="760" w:val="left"/>
        </w:tabs>
        <w:numPr>
          <w:ilvl w:val="0"/>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our ability to successfully carry out our obligations under our license agreement with Yale, for which we have assumed all responsibility for global development and commercialization for simufilam for the treatment of TSC-related epilepsy;</w:t>
      </w:r>
    </w:p>
    <w:p>
      <w:pPr>
        <w:spacing w:after="0" w:line="2" w:lineRule="exact"/>
        <w:rPr>
          <w:rFonts w:ascii="Times New Roman" w:cs="Times New Roman" w:eastAsia="Times New Roman" w:hAnsi="Times New Roman"/>
          <w:sz w:val="36"/>
          <w:szCs w:val="36"/>
          <w:color w:val="auto"/>
          <w:vertAlign w:val="subscript"/>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or ability to expand therapeutic indications for simufilam outside of TSC-related epilepsy;</w:t>
      </w:r>
    </w:p>
    <w:p>
      <w:pPr>
        <w:spacing w:after="0" w:line="10" w:lineRule="exact"/>
        <w:rPr>
          <w:rFonts w:ascii="Times New Roman" w:cs="Times New Roman" w:eastAsia="Times New Roman" w:hAnsi="Times New Roman"/>
          <w:sz w:val="20"/>
          <w:szCs w:val="20"/>
          <w:color w:val="auto"/>
        </w:rPr>
      </w:pPr>
    </w:p>
    <w:p>
      <w:pPr>
        <w:ind w:left="760" w:right="220" w:hanging="370"/>
        <w:spacing w:after="0" w:line="245"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reliance on third-party contractors to conduct all of our clinical and non-clinical trials and to make drug supply, or their ability to do so on-time or on-budget;</w:t>
      </w:r>
    </w:p>
    <w:p>
      <w:pPr>
        <w:ind w:left="760" w:hanging="370"/>
        <w:spacing w:after="0" w:line="245"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interpretation of data from our pre-clinical or early clinical studies, such as Phase 1 and Phase 2 studies, and any studies that are not randomized controlled trials;</w:t>
      </w: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pre-clinical findings on our ability to develop our product candidates;</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exploratory ‘research use only’ non-safety related biomarkers in our clinical studies;</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file for and obtain regulatory approval of our product candidates;</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strategy and ability to establish an infrastructure to commercialize any product candidates, if approved;</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future revenues of our product candidates, if approved and commercialized;</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acceptance of our product candidates, if approved and commercialized;</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pricing and reimbursement of our product candidates, if approved and commercialized;</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utility of protection, or the sufficiency, of our intellectual property;</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potential competitors or competitive products for therapeutic areas we may elect to pursue;</w:t>
      </w:r>
    </w:p>
    <w:p>
      <w:pPr>
        <w:spacing w:after="0" w:line="10" w:lineRule="exact"/>
        <w:rPr>
          <w:rFonts w:ascii="Times New Roman" w:cs="Times New Roman" w:eastAsia="Times New Roman" w:hAnsi="Times New Roman"/>
          <w:sz w:val="20"/>
          <w:szCs w:val="20"/>
          <w:color w:val="auto"/>
        </w:rPr>
      </w:pPr>
    </w:p>
    <w:p>
      <w:pPr>
        <w:ind w:left="760" w:right="20" w:hanging="370"/>
        <w:spacing w:after="0" w:line="245"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need to raise new capital from time to time to finance our operations and the impact of macroeconomic conditions on our ability to effectively raise capital;</w:t>
      </w:r>
    </w:p>
    <w:p>
      <w:pPr>
        <w:ind w:left="760" w:hanging="370"/>
        <w:spacing w:after="0" w:line="245"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regarding trade secrets, technological innovations, licensing agreements and outsourcing of certain business functions;</w:t>
      </w:r>
    </w:p>
    <w:p>
      <w:pPr>
        <w:ind w:left="760" w:right="20" w:hanging="370"/>
        <w:spacing w:after="0" w:line="244"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expenses or incurred costs increasing by material amounts in excess of budgeted amounts due to unexpected cost overruns, imperfect forecasting, increased scope of activities or other causes;</w:t>
      </w: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financial or operating results;</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losses, anticipated operating and capital expenditures and legal expenses;</w:t>
      </w:r>
    </w:p>
    <w:p>
      <w:pPr>
        <w:spacing w:after="0" w:line="10" w:lineRule="exact"/>
        <w:rPr>
          <w:rFonts w:ascii="Times New Roman" w:cs="Times New Roman" w:eastAsia="Times New Roman" w:hAnsi="Times New Roman"/>
          <w:sz w:val="20"/>
          <w:szCs w:val="20"/>
          <w:color w:val="auto"/>
        </w:rPr>
      </w:pPr>
    </w:p>
    <w:p>
      <w:pPr>
        <w:ind w:left="760" w:right="20" w:hanging="370"/>
        <w:spacing w:after="0" w:line="245"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expectations regarding the issuance of shares of common stock, options or other equity to employees or directors pursuant to equity compensation awards, net of employment taxes;</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development and maintenance of our internal information systems and infrastructure;</w:t>
      </w:r>
    </w:p>
    <w:p>
      <w:pPr>
        <w:spacing w:after="0" w:line="10" w:lineRule="exact"/>
        <w:rPr>
          <w:rFonts w:ascii="Times New Roman" w:cs="Times New Roman" w:eastAsia="Times New Roman" w:hAnsi="Times New Roman"/>
          <w:sz w:val="20"/>
          <w:szCs w:val="20"/>
          <w:color w:val="auto"/>
        </w:rPr>
      </w:pPr>
    </w:p>
    <w:p>
      <w:pPr>
        <w:ind w:left="760" w:right="840" w:hanging="370"/>
        <w:spacing w:after="0" w:line="181" w:lineRule="auto"/>
        <w:tabs>
          <w:tab w:leader="none" w:pos="760" w:val="left"/>
        </w:tabs>
        <w:numPr>
          <w:ilvl w:val="0"/>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our ability to minimize the likelihood and impact of adverse cybersecurity incidents in our information systems and infrastructure;</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4 / 117</w:t>
      </w:r>
    </w:p>
    <w:p>
      <w:pPr>
        <w:sectPr>
          <w:pgSz w:w="12240" w:h="15840" w:orient="portrait"/>
          <w:cols w:equalWidth="0" w:num="1">
            <w:col w:w="10820"/>
          </w:cols>
          <w:pgMar w:left="700" w:top="1060" w:right="720" w:bottom="0" w:gutter="0" w:footer="0" w:header="0"/>
        </w:sectPr>
      </w:pPr>
    </w:p>
    <w:bookmarkStart w:id="4" w:name="page5"/>
    <w:bookmarkEnd w:id="4"/>
    <w:p>
      <w:pPr>
        <w:ind w:left="780" w:hanging="370"/>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and retain personnel;</w:t>
      </w:r>
    </w:p>
    <w:p>
      <w:pPr>
        <w:spacing w:after="0" w:line="35" w:lineRule="exact"/>
        <w:rPr>
          <w:rFonts w:ascii="Times New Roman" w:cs="Times New Roman" w:eastAsia="Times New Roman" w:hAnsi="Times New Roman"/>
          <w:sz w:val="20"/>
          <w:szCs w:val="20"/>
          <w:color w:val="auto"/>
        </w:rPr>
      </w:pPr>
    </w:p>
    <w:p>
      <w:pPr>
        <w:ind w:left="780" w:hanging="370"/>
        <w:spacing w:after="0"/>
        <w:tabs>
          <w:tab w:leader="none" w:pos="78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existing or emerging regulations and regulatory developments in the United States and other jurisdictions in which we operate;</w:t>
      </w:r>
    </w:p>
    <w:p>
      <w:pPr>
        <w:spacing w:after="0" w:line="21" w:lineRule="exact"/>
        <w:rPr>
          <w:rFonts w:ascii="Times New Roman" w:cs="Times New Roman" w:eastAsia="Times New Roman" w:hAnsi="Times New Roman"/>
          <w:sz w:val="19"/>
          <w:szCs w:val="19"/>
          <w:color w:val="auto"/>
        </w:rPr>
      </w:pPr>
    </w:p>
    <w:p>
      <w:pPr>
        <w:ind w:left="780" w:hanging="370"/>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appropriate size and scope of our operations;</w:t>
      </w:r>
    </w:p>
    <w:p>
      <w:pPr>
        <w:spacing w:after="0" w:line="10" w:lineRule="exact"/>
        <w:rPr>
          <w:rFonts w:ascii="Times New Roman" w:cs="Times New Roman" w:eastAsia="Times New Roman" w:hAnsi="Times New Roman"/>
          <w:sz w:val="20"/>
          <w:szCs w:val="20"/>
          <w:color w:val="auto"/>
        </w:rPr>
      </w:pPr>
    </w:p>
    <w:p>
      <w:pPr>
        <w:ind w:left="780" w:hanging="370"/>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sufficiency of our cash resources to continue to fund our operations;</w:t>
      </w:r>
    </w:p>
    <w:p>
      <w:pPr>
        <w:spacing w:after="0" w:line="10" w:lineRule="exact"/>
        <w:rPr>
          <w:rFonts w:ascii="Times New Roman" w:cs="Times New Roman" w:eastAsia="Times New Roman" w:hAnsi="Times New Roman"/>
          <w:sz w:val="20"/>
          <w:szCs w:val="20"/>
          <w:color w:val="auto"/>
        </w:rPr>
      </w:pPr>
    </w:p>
    <w:p>
      <w:pPr>
        <w:ind w:left="780" w:hanging="370"/>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future agreements with third parties in connection with the commercialization of our product candidates;</w:t>
      </w:r>
    </w:p>
    <w:p>
      <w:pPr>
        <w:spacing w:after="0" w:line="10" w:lineRule="exact"/>
        <w:rPr>
          <w:rFonts w:ascii="Times New Roman" w:cs="Times New Roman" w:eastAsia="Times New Roman" w:hAnsi="Times New Roman"/>
          <w:sz w:val="20"/>
          <w:szCs w:val="20"/>
          <w:color w:val="auto"/>
        </w:rPr>
      </w:pPr>
    </w:p>
    <w:p>
      <w:pPr>
        <w:ind w:left="780" w:right="20" w:hanging="370"/>
        <w:spacing w:after="0" w:line="245" w:lineRule="auto"/>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our estimates regarding expenses, loss contingency reserves, capital requirements, and needs for additional financing;</w:t>
      </w:r>
    </w:p>
    <w:p>
      <w:pPr>
        <w:ind w:left="780" w:hanging="370"/>
        <w:spacing w:after="0"/>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assumptions and estimates used for our disclosures regarding stock-based compensation;</w:t>
      </w:r>
    </w:p>
    <w:p>
      <w:pPr>
        <w:spacing w:after="0" w:line="10" w:lineRule="exact"/>
        <w:rPr>
          <w:rFonts w:ascii="Times New Roman" w:cs="Times New Roman" w:eastAsia="Times New Roman" w:hAnsi="Times New Roman"/>
          <w:sz w:val="20"/>
          <w:szCs w:val="20"/>
          <w:color w:val="auto"/>
        </w:rPr>
      </w:pPr>
    </w:p>
    <w:p>
      <w:pPr>
        <w:ind w:left="780" w:right="20" w:hanging="370"/>
        <w:spacing w:after="0" w:line="244" w:lineRule="auto"/>
        <w:tabs>
          <w:tab w:leader="none" w:pos="7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expense, timing and outcome of pending or future litigation or other legal proceedings and claims (including U.S. government inquiries) including the potential for negotiated settlements of such matters; and</w:t>
      </w:r>
    </w:p>
    <w:p>
      <w:pPr>
        <w:ind w:left="780" w:right="20" w:hanging="379"/>
        <w:spacing w:after="0" w:line="250" w:lineRule="auto"/>
        <w:tabs>
          <w:tab w:leader="none" w:pos="7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litigation, claims or other uncertainties that may arise from allegations made against us or our former employees or collaborators and the potential resolution of same.</w:t>
      </w:r>
    </w:p>
    <w:p>
      <w:pPr>
        <w:spacing w:after="0" w:line="19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Forward-looking statements involve risks and uncertainties and our actual results and the timing of events may differ materially from those discussed in the forward-looking statements. Such risks and uncertainties include, but are not limited to, those described in “Item 1A. Risk Factors”, and investors should consider such risks before investing in our Company.</w:t>
      </w:r>
    </w:p>
    <w:p>
      <w:pPr>
        <w:spacing w:after="0" w:line="17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caution you not to place undue reliance on forward -looking statements because our future results may differ materially from those expressed or implied by them. We do not undertake to update any forward-looking statement, whether written or oral, relating to the matters discussed in this Annual Report on Form 10-K, except as required by law.</w:t>
      </w:r>
    </w:p>
    <w:p>
      <w:pPr>
        <w:spacing w:after="0" w:line="17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This Annual Report on Form 10-K may also contain statistical data and drug information received from our independent consultants or based on industry publications or other publicly available information. We have not independently verified the accuracy or completeness of the data contained in these sources of data and information. Accordingly, we make no representations as to the accuracy or completeness of such data and information. You are cautioned not to give undue weight to such data and information.</w:t>
      </w:r>
    </w:p>
    <w:p>
      <w:pPr>
        <w:spacing w:after="0" w:line="186" w:lineRule="exact"/>
        <w:rPr>
          <w:sz w:val="20"/>
          <w:szCs w:val="20"/>
          <w:color w:val="auto"/>
        </w:rPr>
      </w:pPr>
    </w:p>
    <w:p>
      <w:pPr>
        <w:jc w:val="both"/>
        <w:ind w:left="40" w:firstLine="360"/>
        <w:spacing w:after="0" w:line="251" w:lineRule="auto"/>
        <w:rPr>
          <w:sz w:val="20"/>
          <w:szCs w:val="20"/>
          <w:color w:val="auto"/>
        </w:rPr>
      </w:pPr>
      <w:r>
        <w:rPr>
          <w:rFonts w:ascii="Times New Roman" w:cs="Times New Roman" w:eastAsia="Times New Roman" w:hAnsi="Times New Roman"/>
          <w:sz w:val="20"/>
          <w:szCs w:val="20"/>
          <w:color w:val="auto"/>
        </w:rPr>
        <w:t>Our research programs in neurodegeneration have historically benefited from scientific and financial support from the National Institutes of Health (NIH). The contents of this Annual Report are solely our responsibility and do not necessarily represent any official views of NIH, the Department of Health and Human Services, or any other agency of the United States government, or any of our vendors, collaborators or unrelated third-parties</w:t>
      </w:r>
      <w:r>
        <w:rPr>
          <w:rFonts w:ascii="Times New Roman" w:cs="Times New Roman" w:eastAsia="Times New Roman" w:hAnsi="Times New Roman"/>
          <w:sz w:val="20"/>
          <w:szCs w:val="20"/>
          <w:i w:val="1"/>
          <w:iCs w:val="1"/>
          <w:color w:val="auto"/>
        </w:rPr>
        <w:t>.</w:t>
      </w:r>
    </w:p>
    <w:p>
      <w:pPr>
        <w:spacing w:after="0" w:line="188" w:lineRule="exact"/>
        <w:rPr>
          <w:sz w:val="20"/>
          <w:szCs w:val="20"/>
          <w:color w:val="auto"/>
        </w:rPr>
      </w:pPr>
    </w:p>
    <w:p>
      <w:pPr>
        <w:jc w:val="both"/>
        <w:ind w:left="40" w:firstLine="360"/>
        <w:spacing w:after="0" w:line="252" w:lineRule="auto"/>
        <w:rPr>
          <w:sz w:val="20"/>
          <w:szCs w:val="20"/>
          <w:color w:val="auto"/>
        </w:rPr>
      </w:pPr>
      <w:r>
        <w:rPr>
          <w:rFonts w:ascii="Times New Roman" w:cs="Times New Roman" w:eastAsia="Times New Roman" w:hAnsi="Times New Roman"/>
          <w:sz w:val="20"/>
          <w:szCs w:val="20"/>
          <w:color w:val="auto"/>
        </w:rPr>
        <w:t>All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are approved or available for sale anywhere in the world.</w:t>
      </w:r>
    </w:p>
    <w:p>
      <w:pPr>
        <w:spacing w:after="0" w:line="184" w:lineRule="exact"/>
        <w:rPr>
          <w:sz w:val="20"/>
          <w:szCs w:val="20"/>
          <w:color w:val="auto"/>
        </w:rPr>
      </w:pPr>
    </w:p>
    <w:p>
      <w:pPr>
        <w:jc w:val="both"/>
        <w:ind w:left="40" w:firstLine="360"/>
        <w:spacing w:after="0" w:line="277" w:lineRule="auto"/>
        <w:rPr>
          <w:sz w:val="20"/>
          <w:szCs w:val="20"/>
          <w:color w:val="auto"/>
        </w:rPr>
      </w:pPr>
      <w:r>
        <w:rPr>
          <w:rFonts w:ascii="Times New Roman" w:cs="Times New Roman" w:eastAsia="Times New Roman" w:hAnsi="Times New Roman"/>
          <w:sz w:val="20"/>
          <w:szCs w:val="20"/>
          <w:color w:val="auto"/>
        </w:rPr>
        <w:t>Our clinical results from earlier-stage clinical trials may not be indicative of future results from later-stage or larger scale clinical trials and do not ensure regulatory approval. You are cautioned that subsequent results may differ materially.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5 / 117</w:t>
      </w:r>
    </w:p>
    <w:p>
      <w:pPr>
        <w:sectPr>
          <w:pgSz w:w="12240" w:h="15840" w:orient="portrait"/>
          <w:cols w:equalWidth="0" w:num="1">
            <w:col w:w="10840"/>
          </w:cols>
          <w:pgMar w:left="680" w:top="792" w:right="720" w:bottom="0" w:gutter="0" w:footer="0" w:header="0"/>
        </w:sectPr>
      </w:pPr>
    </w:p>
    <w:bookmarkStart w:id="5" w:name="page6"/>
    <w:bookmarkEnd w:id="5"/>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Rigorous evidence for drug safety and efficacy is required for regulatory approval and is derived from one or more large, randomized, placebo-controlled studies. The design and limited size of our early -stage studies may introduce clinical or statistical bias or may generate results that may not fully distinguish between drug effects, if any, placebo effects and random variation. Different methods of statistical analysis on clinical data from the same study may lead to objectively different numerical results. These and other statistical and clinical features of our early-stage clinical studies add complexity or limitations to the scope of data interpretation. In addition, ‘top-line results’ is a summary of the clinical data prior to the completion of a full and final audit or quality-control of the clinical database. We generally communicate top-line results so that our stakeholders have timely access to a summary of a study’s findings prior to us receiving the final dataset. Final data may change from initial top-line data.</w:t>
      </w:r>
    </w:p>
    <w:p>
      <w:pPr>
        <w:spacing w:after="0" w:line="187"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i w:val="1"/>
          <w:iCs w:val="1"/>
          <w:color w:val="auto"/>
        </w:rPr>
        <w:t>Business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2"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Filana Therapeutics, Inc. (formerly Cassava Sciences, Inc.) is a clinical-stage biotechnology company based in Austin, Texas. Our mission is to develop transformative medicines to improve the lives of patients with central nervous system (CNS) disorders, such as Tuberous Sclerosis Complex (TSC) -related epilepsy and other diseases associated with dysregulation or overexpression of filamin A. Our science is based on modulating the activity of a critical protein in the brain for patients with certain CNS disorders, such as TSC. Our lead therapeutic drug candidate, simufilam, was under clinical evaluation for the proposed treatment of Alzheimer’s disease in two Phase 3 clinical studies through 2024, when all ongoing clinical trials for simufilam in Alzheimer’s disease were discontinued. The phase out of the Company’s Alzheimer's disease development program was completed in the second quarter of 2025.</w:t>
      </w:r>
    </w:p>
    <w:p>
      <w:pPr>
        <w:spacing w:after="0" w:line="19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lead therapeutic product candidate, simufilam, is a proprietary small molecule oral treatment drug being studied for the treatment of TSC-related epilepsy. Simufilam was discovered and designed in-house and was characterized by our academic collaborators during research activities that were conducted from approximately 2008 to date.</w:t>
      </w:r>
    </w:p>
    <w:p>
      <w:pPr>
        <w:spacing w:after="0" w:line="178"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Simufilam is intended to modulate the activity of a protein called filamin A, which regulates diverse aspects of neuronal cell development. Our and our collaborators’ published studies have demonstrated that the combination of mTOR activation and filamin A overexpression causes cell overgrowth, abnormal connectivity, and brain malformations, leading to seizures in patients with TSC. While such seizures have historically been treated with mTOR inhibitors and other drugs, filamin A represents a novel target for the potential treatment of TSC -related epilepsy, independent of mTOR.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6 / 117</w:t>
      </w:r>
    </w:p>
    <w:p>
      <w:pPr>
        <w:sectPr>
          <w:pgSz w:w="12240" w:h="15840" w:orient="portrait"/>
          <w:cols w:equalWidth="0" w:num="1">
            <w:col w:w="10820"/>
          </w:cols>
          <w:pgMar w:left="700" w:top="788" w:right="720"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We Own or Control Worldwide Rights to Our Drug Development Program</w:t>
      </w:r>
    </w:p>
    <w:p>
      <w:pPr>
        <w:spacing w:after="0" w:line="232"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success depends in part on our ability to obtain, maintain, and enforce intellectual property protection for our product candidates, including simufilam, and related technologies. We seek to protect our proprietary position through a combination of patents, patent applications, trade secrets, know-how, and other intellectual property rights.</w:t>
      </w:r>
    </w:p>
    <w:p>
      <w:pPr>
        <w:spacing w:after="0" w:line="17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own or exclusively control a portfolio of issued patents and pending patent applications directed to simufilam and related diagnostic assets. These intellectual property rights include patents covering composition of matter for simufilam in the United States, Europe, Australia, Israel, and Canada, as well as patents covering certain methods of use of simufilam in the United States, Europe, and Japan. We also own pending patent applications covering diagnostic assets related to simufilam in the United States, Europe, Japan, China, Canada, and Australia, as well as additional pending patent applications covering other diagnostic assets in the United States, Europe, Japan, China, and Canada.</w:t>
      </w:r>
    </w:p>
    <w:p>
      <w:pPr>
        <w:spacing w:after="0" w:line="18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the United States, our patent protection relating to simufilam, including its solid forms and methods of use for Alzheimer’s disease and other neurodegenerative diseases, consists of nine issued U.S. patents, with expiration dates ranging from 2029 to 2040, subject to potential patent term extensions and adjustments. We have filed corresponding foreign patent applications for each of these U.S. patent families where we believe such protection is commercially appropriate.</w:t>
      </w:r>
    </w:p>
    <w:p>
      <w:pPr>
        <w:spacing w:after="0" w:line="18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addition to our owned intellectual property, on February 26, 2025, we entered into a License Agreement (the “License Agreement”) with Yale University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Under this exclusive, worldwide license, we have the right to sublicense the licensed intellectual property. The license is subject to customary diligence obligations and includes milestone payments, royalties on net sales of licensed products, and other contingent payments, including payments tied to the transfer of any regulatory priority review voucher, if issued. As a result, commercial sales of simufilam or related products, if any, may be subject to royalty obligations to Yale.</w:t>
      </w:r>
    </w:p>
    <w:p>
      <w:pPr>
        <w:spacing w:after="0" w:line="19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Except for intellectual property licensed from third parties, including pursuant to the License Agreement with Yale, we do not owe royalties or other payments to third parties with respect to our owned patents and patent applications covering simufilam.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Tuberous Sclerosis Complex (TSC)</w:t>
      </w:r>
    </w:p>
    <w:p>
      <w:pPr>
        <w:spacing w:after="0" w:line="235"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TSC is a genetic disorder that results from a mutation in the TSC1 or TSC2 genes. According to the Tuberous Sclerosis Alliance (TSCA), TSC is estimated to affect around 1 in 6,000 live births with approximately 50,000 people affected in the United States and more than one million worldwide. Clinical symptoms of TSC are variable and can impact organ systems with non-malignant tumors developing in brain, eyes, heart, kidney, skin and lungs. Interrelated neuropsychiatric manifestations of TSC such as intellectual disability, autism spectrum disorder, anxiety, aggression, attention deficit hyperactivity disorder, and sleep disturbance can significantly impact quality of life. Epilepsy is common in TSC, occurring in 84% of patients registered in the TSC Alliance Natural History Database with onset often occurring in their first year of life. Approximately 60 percent of TSC patients suffer from treatment-resistant seizures despite use of multiple anti-seizure medications. TSC-related epilepsy is associated with poor outcomes and increases the risk of cognitive deficits.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Preclinical Studies with Simufilam in Tuberous Sclerosis Complex</w:t>
      </w:r>
    </w:p>
    <w:p>
      <w:pPr>
        <w:spacing w:after="0" w:line="23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Preclinical research conducted at Yale indicates that simufilam (then PTI-125) may be effective in reducing TSC- related seizure activity. A study conducted by Angelique Bordey, PhD, at Yale and published in the peer-reviewed journal </w:t>
      </w:r>
      <w:r>
        <w:rPr>
          <w:rFonts w:ascii="Times New Roman" w:cs="Times New Roman" w:eastAsia="Times New Roman" w:hAnsi="Times New Roman"/>
          <w:sz w:val="20"/>
          <w:szCs w:val="20"/>
          <w:i w:val="1"/>
          <w:iCs w:val="1"/>
          <w:color w:val="auto"/>
        </w:rPr>
        <w:t>Neuron</w:t>
      </w:r>
      <w:r>
        <w:rPr>
          <w:rFonts w:ascii="Times New Roman" w:cs="Times New Roman" w:eastAsia="Times New Roman" w:hAnsi="Times New Roman"/>
          <w:sz w:val="20"/>
          <w:szCs w:val="20"/>
          <w:color w:val="auto"/>
        </w:rPr>
        <w:t xml:space="preserve"> in 2014 found overexpression of filamin A and neuronal abnormalities in brain tissue from TSC patients, as well as in brain tissue from mice that had been genetically altered to model TSC. The study further found that genetically normalizing filamin A expression in the mice prevented neuronal abnormalities. The paper, MEK-ERK1/2 -Dependent FLNA Overexpression Promotes Abnormal Dendritic Patterning in Tuberous Sclerosis Independent of mTOR (</w:t>
      </w:r>
      <w:r>
        <w:rPr>
          <w:rFonts w:ascii="Times New Roman" w:cs="Times New Roman" w:eastAsia="Times New Roman" w:hAnsi="Times New Roman"/>
          <w:sz w:val="20"/>
          <w:szCs w:val="20"/>
          <w:i w:val="1"/>
          <w:iCs w:val="1"/>
          <w:color w:val="auto"/>
        </w:rPr>
        <w:t>Neuron</w:t>
      </w:r>
      <w:r>
        <w:rPr>
          <w:rFonts w:ascii="Times New Roman" w:cs="Times New Roman" w:eastAsia="Times New Roman" w:hAnsi="Times New Roman"/>
          <w:sz w:val="20"/>
          <w:szCs w:val="20"/>
          <w:color w:val="auto"/>
        </w:rPr>
        <w:t>. 2014 Oct 1. PMID: 25277454), was co-authored by Zhang L, Bartley CM, Gong X, Hsieh LS, Lin TV and Feliciano DM.</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A later study conducted by Dr. Bordey and published in the peer-reviewed journal </w:t>
      </w:r>
      <w:r>
        <w:rPr>
          <w:rFonts w:ascii="Times New Roman" w:cs="Times New Roman" w:eastAsia="Times New Roman" w:hAnsi="Times New Roman"/>
          <w:sz w:val="20"/>
          <w:szCs w:val="20"/>
          <w:i w:val="1"/>
          <w:iCs w:val="1"/>
          <w:color w:val="auto"/>
        </w:rPr>
        <w:t>Science Translational Medicine</w:t>
      </w:r>
      <w:r>
        <w:rPr>
          <w:rFonts w:ascii="Times New Roman" w:cs="Times New Roman" w:eastAsia="Times New Roman" w:hAnsi="Times New Roman"/>
          <w:sz w:val="20"/>
          <w:szCs w:val="20"/>
          <w:color w:val="auto"/>
        </w:rPr>
        <w:t xml:space="preserve"> in 2020 likewise found elevated filamin A and neuronal abnormalities in brain tissue from patients with focal cortical dysplasia type II (FCDII), a genetic disorder with similar characteristics to TSC, as well as in the brains of mice that had been genetically altered to model TSC and FCDII. That study showed that normalizing filamin A expression in the mice through genetic knockdown both limited the neuronal abnormalities and reduced the frequency of epileptic seizures in the mice. This 2020 paper, Filamin A Inhibition Reduces Seizure Activity in a Mouse Model of Focal Cortical Malformations (</w:t>
      </w:r>
      <w:r>
        <w:rPr>
          <w:rFonts w:ascii="Times New Roman" w:cs="Times New Roman" w:eastAsia="Times New Roman" w:hAnsi="Times New Roman"/>
          <w:sz w:val="20"/>
          <w:szCs w:val="20"/>
          <w:i w:val="1"/>
          <w:iCs w:val="1"/>
          <w:color w:val="auto"/>
        </w:rPr>
        <w:t>Sci Transl Med</w:t>
      </w:r>
      <w:r>
        <w:rPr>
          <w:rFonts w:ascii="Times New Roman" w:cs="Times New Roman" w:eastAsia="Times New Roman" w:hAnsi="Times New Roman"/>
          <w:sz w:val="20"/>
          <w:szCs w:val="20"/>
          <w:color w:val="auto"/>
        </w:rPr>
        <w:t>. 2020 Feb 19. PMID: 32076941), was co-authored by Zhang L, Huang T, Teaw S, Nguyen LH, Hsieh LS, Gong X, and Lindsay Burns, a former employee of the Company.</w:t>
      </w:r>
    </w:p>
    <w:p>
      <w:pPr>
        <w:spacing w:after="0" w:line="188"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9"/>
          <w:szCs w:val="19"/>
          <w:color w:val="auto"/>
        </w:rPr>
        <w:t>In this 2020 study, Dr. Bordey and her colleagues also studied the effect of treatment with simufilam in the mice that had been altered to model TSC and FCDII. The research showed that treatment with simufilam limited neuronal abnormalities and reduced seizure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7 / 117</w:t>
      </w:r>
    </w:p>
    <w:p>
      <w:pPr>
        <w:sectPr>
          <w:pgSz w:w="12240" w:h="15840" w:orient="portrait"/>
          <w:cols w:equalWidth="0" w:num="1">
            <w:col w:w="10820"/>
          </w:cols>
          <w:pgMar w:left="700" w:top="784" w:right="720" w:bottom="0" w:gutter="0" w:footer="0" w:header="0"/>
        </w:sectPr>
      </w:pPr>
    </w:p>
    <w:bookmarkStart w:id="7" w:name="page8"/>
    <w:bookmarkEnd w:id="7"/>
    <w:p>
      <w:pPr>
        <w:jc w:val="both"/>
        <w:spacing w:after="0" w:line="277" w:lineRule="auto"/>
        <w:rPr>
          <w:sz w:val="20"/>
          <w:szCs w:val="20"/>
          <w:color w:val="auto"/>
        </w:rPr>
      </w:pPr>
      <w:r>
        <w:rPr>
          <w:rFonts w:ascii="Times New Roman" w:cs="Times New Roman" w:eastAsia="Times New Roman" w:hAnsi="Times New Roman"/>
          <w:sz w:val="20"/>
          <w:szCs w:val="20"/>
          <w:color w:val="auto"/>
        </w:rPr>
        <w:t>activity in the mouse model at a level similar to genetic knockdown of filamin A expression. Treatment with simufilam did not, however, affect the level of filamin A in the brains of the mice.</w:t>
      </w:r>
    </w:p>
    <w:p>
      <w:pPr>
        <w:spacing w:after="0" w:line="15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Dr. Bordey joined the Company as Senior Vice President, Neuroscience, on May 1, 2025, while continuing her tenured academic position at Yale School of Medicine on a part time basis. In connection with plans to initiate a clinical program in TSC -related epilepsy, the Company appointed Dr. Joseph Hulihan as Chief Medical Officer in August 2025. Dr. Hulihan, who brings over 25 years of industry experience, devotes approximately half of his professional time to the Company and will advise on the clinical development of simufilam.</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9"/>
          <w:szCs w:val="19"/>
          <w:color w:val="auto"/>
        </w:rPr>
        <w:t xml:space="preserve">In August 2025, the Company announced positive preclinical results of a study evaluating simufilam in a well-accepted mouse model of TSC -related epilepsy. The study was conducted in collaboration with the TSCA and the TSC Preclinical Consortium using an animal model of TSC -related epilepsy, the </w:t>
      </w:r>
      <w:r>
        <w:rPr>
          <w:rFonts w:ascii="Times New Roman" w:cs="Times New Roman" w:eastAsia="Times New Roman" w:hAnsi="Times New Roman"/>
          <w:sz w:val="19"/>
          <w:szCs w:val="19"/>
          <w:i w:val="1"/>
          <w:iCs w:val="1"/>
          <w:color w:val="auto"/>
        </w:rPr>
        <w:t>Tsc1</w:t>
      </w:r>
      <w:r>
        <w:rPr>
          <w:rFonts w:ascii="Times New Roman" w:cs="Times New Roman" w:eastAsia="Times New Roman" w:hAnsi="Times New Roman"/>
          <w:sz w:val="19"/>
          <w:szCs w:val="19"/>
          <w:color w:val="auto"/>
        </w:rPr>
        <w:t xml:space="preserve"> conditional knockout (CKO) mouse line (</w:t>
      </w:r>
      <w:r>
        <w:rPr>
          <w:rFonts w:ascii="Times New Roman" w:cs="Times New Roman" w:eastAsia="Times New Roman" w:hAnsi="Times New Roman"/>
          <w:sz w:val="19"/>
          <w:szCs w:val="19"/>
          <w:i w:val="1"/>
          <w:iCs w:val="1"/>
          <w:color w:val="auto"/>
        </w:rPr>
        <w:t>Tsc1</w:t>
      </w:r>
      <w:r>
        <w:rPr>
          <w:rFonts w:ascii="Times New Roman" w:cs="Times New Roman" w:eastAsia="Times New Roman" w:hAnsi="Times New Roman"/>
          <w:sz w:val="19"/>
          <w:szCs w:val="19"/>
          <w:color w:val="auto"/>
        </w:rPr>
        <w:t>- CKO). These mice develop spontaneous seizures and are used by the TSC Alliance to evaluate the effectiveness and safety of novel and repurposed therapeutics in the potential treatment of TSC-related epilepsy. The study was conducted by PsychoGenics, Inc., the TSC Preclinical Consortium’s research partner.</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20"/>
          </w:cols>
          <w:pgMar w:left="70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color w:val="auto"/>
        </w:rPr>
        <w:t>8 / 117</w:t>
      </w:r>
    </w:p>
    <w:p>
      <w:pPr>
        <w:sectPr>
          <w:pgSz w:w="12240" w:h="15840" w:orient="portrait"/>
          <w:cols w:equalWidth="0" w:num="1">
            <w:col w:w="10820"/>
          </w:cols>
          <w:pgMar w:left="700" w:top="557" w:right="720" w:bottom="0" w:gutter="0" w:footer="0" w:header="0"/>
          <w:type w:val="continuous"/>
        </w:sectPr>
      </w:pPr>
    </w:p>
    <w:bookmarkStart w:id="8" w:name="page9"/>
    <w:bookmarkEnd w:id="8"/>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Tsc1</w:t>
      </w:r>
      <w:r>
        <w:rPr>
          <w:rFonts w:ascii="Times New Roman" w:cs="Times New Roman" w:eastAsia="Times New Roman" w:hAnsi="Times New Roman"/>
          <w:sz w:val="20"/>
          <w:szCs w:val="20"/>
          <w:color w:val="auto"/>
        </w:rPr>
        <w:t>-CKO mice were treated with several doses of simufilam. Seizure activity was monitored for approximately three weeks after onset, and simufilam was evaluated against treatment with vehicle alone. The data showed that simufilam attenuated the progression of seizure activity, with a statistically significant correlation between simufilam dose and the number of seizures by the end of the study. Not all parameters measured reached statistical significance. The Company intends to present data and analyses in an upcoming scientific conference and publication.</w:t>
      </w:r>
    </w:p>
    <w:p>
      <w:pPr>
        <w:spacing w:after="0" w:line="187"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Based on the results of these studies, the Company filed an Investigational New Drug (IND) application with the U.S. Food and Drug Administration (FDA) in order to initiate a proof-of-concept clinical trial for simufilam in TSC- related epilepsy. On December 15, 2025, the Company received a formal letter from FDA confirming that the proposed clinical trial is on full clinical hold subject to the Company providing FDA with additional information, including additional pre-clinical data, and modifying the protocol design.</w:t>
      </w:r>
    </w:p>
    <w:p>
      <w:pPr>
        <w:spacing w:after="0" w:line="188"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The Company is working expeditiously to address the items identified in the letter. However, as announced on December 18, 2025, the Company no longer expects to initiate a proof-of- concept clinical trial for simufilam in TSC-related epilepsy in the first half of 2026. The updated timing for initiation of a clinical trial will depend on the Company’s ability to provide the requested information and on satisfactory completion of FDA’s review.</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License Agreement with Yale</w:t>
      </w:r>
    </w:p>
    <w:p>
      <w:pPr>
        <w:spacing w:after="0" w:line="235"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Pursuant to the License Agreement, we have agreed to use reasonable commercial efforts to implement a plan designed for such development and commercialization.</w:t>
      </w:r>
    </w:p>
    <w:p>
      <w:pPr>
        <w:spacing w:after="0" w:line="185" w:lineRule="exact"/>
        <w:rPr>
          <w:sz w:val="20"/>
          <w:szCs w:val="20"/>
          <w:color w:val="auto"/>
        </w:rPr>
      </w:pPr>
    </w:p>
    <w:p>
      <w:pPr>
        <w:jc w:val="both"/>
        <w:ind w:left="20" w:firstLine="360"/>
        <w:spacing w:after="0" w:line="255" w:lineRule="auto"/>
        <w:rPr>
          <w:sz w:val="20"/>
          <w:szCs w:val="20"/>
          <w:color w:val="auto"/>
        </w:rPr>
      </w:pPr>
      <w:r>
        <w:rPr>
          <w:rFonts w:ascii="Times New Roman" w:cs="Times New Roman" w:eastAsia="Times New Roman" w:hAnsi="Times New Roman"/>
          <w:sz w:val="20"/>
          <w:szCs w:val="20"/>
          <w:color w:val="auto"/>
        </w:rPr>
        <w:t>In exchange for the rights acquired pursuant to the License Agreement, we paid Yale (i) a nominal upfront license fee, and agreed to pay (ii) payments upon the achievement of specified clinical, regulatory and commercial milestones, totaling up to $4.5 million and</w:t>
      </w:r>
    </w:p>
    <w:p>
      <w:pPr>
        <w:jc w:val="both"/>
        <w:ind w:left="20" w:firstLine="1"/>
        <w:spacing w:after="0" w:line="243" w:lineRule="auto"/>
        <w:tabs>
          <w:tab w:leader="none" w:pos="39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transfer to a third party of a regulatory priority review voucher, if issued, a low-to-mid double digit percentage of any consideration received for such transfer. We also agreed to pay Yale tiered royalties, ranging from a low- to mid- single digit percentage, on aggregate net sales of licensed products, subject to tiered minimum annual royalty payments ranging from the low- to mid- hundreds of thousands of dollars.</w:t>
      </w:r>
    </w:p>
    <w:p>
      <w:pPr>
        <w:spacing w:after="0" w:line="190"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 We may terminate the License Agreement: (i) at our option, upon specified advance notice to Yale and (ii) if Yale commits a material breach of the License Agreement that is not cured within a specified timeframe. Yale may terminate the License Agreement under specified circumstances, including if we (i) fail to make any payment due under the License Agreement and fail to cure such non-payment within a specified timeframe, (ii) commit a breach of the License Agreement that is not cured within a specified timeframe, (iii) default on a material obligation to any creditor, unless cured within a specified timeframe, (iv) fail to obtain or maintain insurance required by the License Agreement, (v) bring or assist a patent challenge against Yale (or if a sublicensee does so). In addition, the License Agreement will terminate automatically upon the occurrence of certain bankruptcy and insolvency events involving us.</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License Agreement includes customary confidentiality, reporting and inspection, and indemnification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Safety Data From our Now-Discontinued Alzheimer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 Disease Program</w:t>
      </w:r>
    </w:p>
    <w:p>
      <w:pPr>
        <w:spacing w:after="0" w:line="235"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Prior to discontinuing the Alzheimer’s disease program in early 2025, we conducted several Phase 1, Phase 2 and Phase 3 trials of simufilam in the indication. During this clinical trial program, more than 2,000 patients were treated with simufilam, with some patients receiving treatment for as long as 24 months. The safety observations for simufilam from the clinical trials in the discontinued Alzheimer's disease program remain relevant and important to research and clinical trials in pursuit of other indications, including TSC-related epilepsy.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9 / 117</w:t>
      </w:r>
    </w:p>
    <w:p>
      <w:pPr>
        <w:sectPr>
          <w:pgSz w:w="12240" w:h="15840" w:orient="portrait"/>
          <w:cols w:equalWidth="0" w:num="1">
            <w:col w:w="10840"/>
          </w:cols>
          <w:pgMar w:left="680" w:top="788" w:right="720"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i w:val="1"/>
          <w:iCs w:val="1"/>
          <w:color w:val="auto"/>
        </w:rPr>
        <w:t>Phase 1 Clinical Safety Study in Healthy Volunteers</w:t>
      </w:r>
    </w:p>
    <w:p>
      <w:pPr>
        <w:spacing w:after="0" w:line="226"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FDA accepted our IND submission for simufilam in 2017. This IND included the requisite preclinical studies concerning safety pharmacology, toxicology, genotoxicity and bioanalytical methods.</w:t>
      </w:r>
    </w:p>
    <w:p>
      <w:pPr>
        <w:spacing w:after="0" w:line="16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thereafter investigated the safety, dosing and pharmacokinetic profile of simufilam in healthy human volunteers. The design of our first-in-human Phase 1 study was based on regulatory feedback, clinical and scientific rationale and observations from previously conducted preclinical and in vitro studies. In this Phase 1 study, simufilam was evaluated in 24 healthy human volunteers (18 simufilam, 6 placebo) in a single site in the U.S. for safety, tolerability and pharmacokinetics. Study subjects were administered a single oral dose of 50, 100 or 200 mg of simufilam or placebo. Drug appeared safe and well-tolerated. Importantly, simufilam showed no treatment-related adverse effects and no dose-limiting safety findings. Pharmacokinetic measurements demonstrated that simufilam, a small molecule, was rapidly absorbed. Dose-proportionality was observed over the full dose range of 50 to 200 mg.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2 24-Month Clinical Safety Study of Simufilam in Alzheimer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Disease</w:t>
      </w:r>
    </w:p>
    <w:p>
      <w:pPr>
        <w:spacing w:after="0" w:line="231"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In March 2020, we initiated a Phase 2 clinical safety study of simufilam in patients with Alzheimer’s disease (NCT04388254). This study was funded in part by a research grant award from NIH. This study was designed to evaluate the long-term clinical safety and tolerability of simufilam in patients with Alzheimer’s disease over 24 months. This study enrolled over 200 patients with Alzheimer’s disease who were recruited from 16 U.S. clinical sites.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conducted the 24-month safety study in three continuous phases:</w:t>
      </w:r>
    </w:p>
    <w:p>
      <w:pPr>
        <w:spacing w:after="0" w:line="2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12-month, open-label treatment phase, followed by</w:t>
      </w:r>
    </w:p>
    <w:p>
      <w:pPr>
        <w:spacing w:after="0" w:line="36" w:lineRule="exact"/>
        <w:rPr>
          <w:sz w:val="20"/>
          <w:szCs w:val="20"/>
          <w:color w:val="auto"/>
        </w:rPr>
      </w:pPr>
    </w:p>
    <w:p>
      <w:pPr>
        <w:ind w:left="1320" w:right="3720"/>
        <w:spacing w:after="0" w:line="260" w:lineRule="auto"/>
        <w:rPr>
          <w:sz w:val="20"/>
          <w:szCs w:val="20"/>
          <w:color w:val="auto"/>
        </w:rPr>
      </w:pPr>
      <w:r>
        <w:rPr>
          <w:rFonts w:ascii="Times New Roman" w:cs="Times New Roman" w:eastAsia="Times New Roman" w:hAnsi="Times New Roman"/>
          <w:sz w:val="20"/>
          <w:szCs w:val="20"/>
          <w:color w:val="auto"/>
        </w:rPr>
        <w:t>6-month randomized, placebo-controlled withdrawal phase, followed by additional months of open-label treatment.</w:t>
      </w:r>
    </w:p>
    <w:p>
      <w:pPr>
        <w:spacing w:after="0" w:line="182"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Study participants received simufilam oral tablets 100 mg twice-daily in the open-label treatment phases, and simufilam or matching placebo during the randomized withdrawal phase. In an open-label study design, both the health providers and the patients are aware of the drug treatment being given.</w:t>
      </w:r>
    </w:p>
    <w:p>
      <w:pPr>
        <w:spacing w:after="0" w:line="180"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All study participants who completed 12 months of open- label simufilam treatment were eligible to participate in the 6-month randomized, placebo-controlled withdrawal phase. Likewise, all study participants who completed the randomized, placebo-controlled withdrawal phase were eligible for 6 additional months of open-label treatment.</w:t>
      </w:r>
    </w:p>
    <w:p>
      <w:pPr>
        <w:spacing w:after="0" w:line="178" w:lineRule="exact"/>
        <w:rPr>
          <w:sz w:val="20"/>
          <w:szCs w:val="20"/>
          <w:color w:val="auto"/>
        </w:rPr>
      </w:pPr>
    </w:p>
    <w:p>
      <w:pPr>
        <w:jc w:val="both"/>
        <w:ind w:left="20" w:firstLine="360"/>
        <w:spacing w:after="0" w:line="304" w:lineRule="auto"/>
        <w:rPr>
          <w:sz w:val="20"/>
          <w:szCs w:val="20"/>
          <w:color w:val="auto"/>
        </w:rPr>
      </w:pPr>
      <w:r>
        <w:rPr>
          <w:rFonts w:ascii="Times New Roman" w:cs="Times New Roman" w:eastAsia="Times New Roman" w:hAnsi="Times New Roman"/>
          <w:sz w:val="19"/>
          <w:szCs w:val="19"/>
          <w:color w:val="auto"/>
        </w:rPr>
        <w:t>During this 24- month study, oral simufilam 100 mg tablets twice daily appeared safe and well tolerated. No drug- related serious adverse events were observed. The most common treatment-emergent adverse events (TEAEs) were Covid-19 and urinary tract infection.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Phase 3 Clinical Trials of Simufilam in Alzheimer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Disease</w:t>
      </w:r>
    </w:p>
    <w:p>
      <w:pPr>
        <w:spacing w:after="0" w:line="228"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Between 2021 and 2025 we enrolled 1,900 patients—including 1,153 patients treated with simufilam during the blinded phase—in two randomized placebo- controlled Phase 3 clinical trials of oral simufilam in mild-to-moderate Alzheimer’s disease. The 800 patients enrolled in the first Phase 3 study, called RETHINK-ALZ, received either 100 mg simufilam tablets or placebo twice daily for 52 weeks (NCT04994483). The 1,125 patients enrolled in the second Phase 3 study, called REFOCUS-ALZ, received either 100 mg and 50 mg simufilam tablets or placebo twice daily for 76 weeks (NCT05026177). Patients who completed either of these Phase 3 studies or the 24-month Phase 2 safety study were eligible to enter a 12-month Open Label Extension study in which all patients received simufilam.</w:t>
      </w:r>
    </w:p>
    <w:p>
      <w:pPr>
        <w:spacing w:after="0" w:line="17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On November 25, 2024, we announced that RETHINK -ALZ did not meet each of the pre-specified co-primary, secondary and exploratory biomarker endpoints. We thereafter discontinued the Phase 3 REFOCUS-ALZ study and Open Label Extension study.</w:t>
      </w:r>
    </w:p>
    <w:p>
      <w:pPr>
        <w:spacing w:after="0" w:line="161"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On March 25, 2025, we announced that REFOCUS-ALZ also did not meet each of the pre-specified co-primary, secondary and exploratory biomarker endpoints.</w:t>
      </w:r>
    </w:p>
    <w:p>
      <w:pPr>
        <w:spacing w:after="0" w:line="16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With the failure of both trials to meet their efficacy endpoints, we announced the decision to phase out our Alzheimer’s disease development program. That process was completed in the second quarter of 2025.</w:t>
      </w:r>
    </w:p>
    <w:p>
      <w:pPr>
        <w:spacing w:after="0" w:line="160"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Throughout both of these Phase 3 trials and the subsequent open -label extension study simufilam demonstrated a favorable safety profile. The drug’s adverse event profile was comparable to placebo, and no drug-related serious adverse events were observed.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Peer Reviewed Article Describing the Results of our Phase 3 Trials of Simufilam in Alzheimer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Disease</w:t>
      </w:r>
    </w:p>
    <w:p>
      <w:pPr>
        <w:spacing w:after="0" w:line="23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 xml:space="preserve">On January 13, 2026, we announced the publication of the article </w:t>
      </w:r>
      <w:r>
        <w:rPr>
          <w:rFonts w:ascii="Times New Roman" w:cs="Times New Roman" w:eastAsia="Times New Roman" w:hAnsi="Times New Roman"/>
          <w:sz w:val="20"/>
          <w:szCs w:val="20"/>
          <w:i w:val="1"/>
          <w:iCs w:val="1"/>
          <w:color w:val="auto"/>
        </w:rPr>
        <w:t>Phase 3 randomized clinical trials of simufilam in mild- to-moderate Alzheimer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s disease </w:t>
      </w:r>
      <w:r>
        <w:rPr>
          <w:rFonts w:ascii="Times New Roman" w:cs="Times New Roman" w:eastAsia="Times New Roman" w:hAnsi="Times New Roman"/>
          <w:sz w:val="20"/>
          <w:szCs w:val="20"/>
          <w:color w:val="auto"/>
        </w:rPr>
        <w:t>in the Journal of Prevention of Alzheimer’s Disease (JPAD). The paper provides a detailed analysis of</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10 / 117</w:t>
      </w:r>
    </w:p>
    <w:p>
      <w:pPr>
        <w:sectPr>
          <w:pgSz w:w="12240" w:h="15840" w:orient="portrait"/>
          <w:cols w:equalWidth="0" w:num="1">
            <w:col w:w="10840"/>
          </w:cols>
          <w:pgMar w:left="680" w:top="790" w:right="720" w:bottom="0" w:gutter="0" w:footer="0" w:header="0"/>
        </w:sectPr>
      </w:pPr>
    </w:p>
    <w:bookmarkStart w:id="10" w:name="page11"/>
    <w:bookmarkEnd w:id="10"/>
    <w:p>
      <w:pPr>
        <w:spacing w:after="0" w:line="277" w:lineRule="auto"/>
        <w:rPr>
          <w:sz w:val="20"/>
          <w:szCs w:val="20"/>
          <w:color w:val="auto"/>
        </w:rPr>
      </w:pPr>
      <w:r>
        <w:rPr>
          <w:rFonts w:ascii="Times New Roman" w:cs="Times New Roman" w:eastAsia="Times New Roman" w:hAnsi="Times New Roman"/>
          <w:sz w:val="20"/>
          <w:szCs w:val="20"/>
          <w:color w:val="auto"/>
        </w:rPr>
        <w:t>data from the RETHINK-ALZ and REFOCUS -ALZ clinical trials. Although, the two studies did not meet their pre-specified efficacy endpoints, exploratory post-hoc analysis of the studies contained in this article offered informative insights regarding simufilam.</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 is Fundamental to the Drug Development Process</w:t>
      </w:r>
    </w:p>
    <w:p>
      <w:pPr>
        <w:spacing w:after="0" w:line="235"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 xml:space="preserve">We are in the business of new drug discovery and development. Our research and development activities are long, complex, costly and involve a high degree of risk. Holders of our common stock should carefully read this Annual Report in its entirety, including “Item 1A. Risk Factors”. </w:t>
      </w:r>
      <w:r>
        <w:rPr>
          <w:rFonts w:ascii="Times New Roman" w:cs="Times New Roman" w:eastAsia="Times New Roman" w:hAnsi="Times New Roman"/>
          <w:sz w:val="20"/>
          <w:szCs w:val="20"/>
          <w:i w:val="1"/>
          <w:iCs w:val="1"/>
          <w:color w:val="auto"/>
        </w:rPr>
        <w:t>Because risk is fundamental to the process of drug discovery and development, you are cautioned to not invest in our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publicly traded securities unless you are prepared to sustain a total loss of the money you have invested.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40"/>
          </w:cols>
          <w:pgMar w:left="68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11 / 117</w:t>
      </w:r>
    </w:p>
    <w:p>
      <w:pPr>
        <w:sectPr>
          <w:pgSz w:w="12240" w:h="15840" w:orient="portrait"/>
          <w:cols w:equalWidth="0" w:num="1">
            <w:col w:w="10840"/>
          </w:cols>
          <w:pgMar w:left="680" w:top="557" w:right="720" w:bottom="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20"/>
          <w:szCs w:val="20"/>
          <w:b w:val="1"/>
          <w:bCs w:val="1"/>
          <w:color w:val="auto"/>
        </w:rPr>
        <w:t>Our Science</w:t>
      </w: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Our science is based on modulating the activity of filamin A</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Our scientific approach is to treat central nervous system diseases by modulating the activity of the filamin A scaffolding protein.</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Based on existing research, we believe that filamin A is a promising target for drug development with respect to TSC-related epilepsy.</w:t>
      </w:r>
    </w:p>
    <w:p>
      <w:pPr>
        <w:spacing w:after="0" w:line="200" w:lineRule="exact"/>
        <w:rPr>
          <w:sz w:val="20"/>
          <w:szCs w:val="20"/>
          <w:color w:val="auto"/>
        </w:rPr>
      </w:pPr>
    </w:p>
    <w:p>
      <w:pPr>
        <w:jc w:val="both"/>
        <w:ind w:left="60" w:firstLine="360"/>
        <w:spacing w:after="0" w:line="258" w:lineRule="auto"/>
        <w:rPr>
          <w:sz w:val="20"/>
          <w:szCs w:val="20"/>
          <w:color w:val="auto"/>
        </w:rPr>
      </w:pPr>
      <w:r>
        <w:rPr>
          <w:rFonts w:ascii="Times New Roman" w:cs="Times New Roman" w:eastAsia="Times New Roman" w:hAnsi="Times New Roman"/>
          <w:sz w:val="20"/>
          <w:szCs w:val="20"/>
          <w:color w:val="auto"/>
        </w:rPr>
        <w:t>Research that we sponsored has identified a family of high-affinity, small molecules to target filamin A as a means of potentially treating central nervous system disorders such as TSC-related epilepsy. This family of small molecules, including simufilam, our lead small molecule (oral) therapeutic product candidate, was designed in-house and characterized by our academic collaborators.</w:t>
      </w:r>
    </w:p>
    <w:p>
      <w:pPr>
        <w:spacing w:after="0" w:line="180" w:lineRule="exact"/>
        <w:rPr>
          <w:sz w:val="20"/>
          <w:szCs w:val="20"/>
          <w:color w:val="auto"/>
        </w:rPr>
      </w:pPr>
    </w:p>
    <w:p>
      <w:pPr>
        <w:jc w:val="both"/>
        <w:ind w:left="60" w:firstLine="360"/>
        <w:spacing w:after="0" w:line="251" w:lineRule="auto"/>
        <w:rPr>
          <w:sz w:val="20"/>
          <w:szCs w:val="20"/>
          <w:color w:val="auto"/>
        </w:rPr>
      </w:pPr>
      <w:r>
        <w:rPr>
          <w:rFonts w:ascii="Times New Roman" w:cs="Times New Roman" w:eastAsia="Times New Roman" w:hAnsi="Times New Roman"/>
          <w:sz w:val="20"/>
          <w:szCs w:val="20"/>
          <w:color w:val="auto"/>
        </w:rPr>
        <w:t>Filamin A is a scaffolding protein found in the brain and elsewhere in the body. Scaffolding proteins bring multiple proteins together, coordinating their interaction. Our product candidate, simufilam, is a potential first-in -class filamin A- modulating agent with the potential to treat TSC-related epilepsy. We continue to explore other potential indications for simufilam, both CNS related and otherwise, where our pre-clinical experiments suggest that simufilam may provide a benefit.</w:t>
      </w:r>
    </w:p>
    <w:p>
      <w:pPr>
        <w:spacing w:after="0" w:line="188" w:lineRule="exact"/>
        <w:rPr>
          <w:sz w:val="20"/>
          <w:szCs w:val="20"/>
          <w:color w:val="auto"/>
        </w:rPr>
      </w:pPr>
    </w:p>
    <w:p>
      <w:pPr>
        <w:jc w:val="both"/>
        <w:ind w:left="60" w:firstLine="360"/>
        <w:spacing w:after="0" w:line="252" w:lineRule="auto"/>
        <w:rPr>
          <w:sz w:val="20"/>
          <w:szCs w:val="20"/>
          <w:color w:val="auto"/>
        </w:rPr>
      </w:pPr>
      <w:r>
        <w:rPr>
          <w:rFonts w:ascii="Times New Roman" w:cs="Times New Roman" w:eastAsia="Times New Roman" w:hAnsi="Times New Roman"/>
          <w:sz w:val="20"/>
          <w:szCs w:val="20"/>
          <w:color w:val="auto"/>
        </w:rPr>
        <w:t>Published research shows that patients with TSC have elevated levels of filamin A and that this overexpression of filamin A, in combination with mTOR activation, causes cell overgrowth, abnormal connectivity, and brain malformations, leading to seizures. Preclinical studies in a mouse model showed that genetically normalizing filamin A levels reduced seizure activity and limited neuronal abnormalities independent of mTOR activation.</w:t>
      </w:r>
    </w:p>
    <w:p>
      <w:pPr>
        <w:spacing w:after="0" w:line="184" w:lineRule="exact"/>
        <w:rPr>
          <w:sz w:val="20"/>
          <w:szCs w:val="20"/>
          <w:color w:val="auto"/>
        </w:rPr>
      </w:pPr>
    </w:p>
    <w:p>
      <w:pPr>
        <w:jc w:val="both"/>
        <w:ind w:left="60" w:firstLine="360"/>
        <w:spacing w:after="0" w:line="258" w:lineRule="auto"/>
        <w:rPr>
          <w:sz w:val="20"/>
          <w:szCs w:val="20"/>
          <w:color w:val="auto"/>
        </w:rPr>
      </w:pPr>
      <w:r>
        <w:rPr>
          <w:rFonts w:ascii="Times New Roman" w:cs="Times New Roman" w:eastAsia="Times New Roman" w:hAnsi="Times New Roman"/>
          <w:sz w:val="20"/>
          <w:szCs w:val="20"/>
          <w:color w:val="auto"/>
        </w:rPr>
        <w:t>In this same mouse model, treatment with simufilam reduced seizure activity and limited neuronal abnormalities in a manner similar to genetically normalizing filamin A levels. A second study in a well-accepted mouse model of TSC-related epilepsy showed that treatment with simufilam attenuated the progression of seizure activity.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Extension of Our Science to Other Indications</w:t>
      </w:r>
    </w:p>
    <w:p>
      <w:pPr>
        <w:spacing w:after="0" w:line="229" w:lineRule="exact"/>
        <w:rPr>
          <w:sz w:val="20"/>
          <w:szCs w:val="20"/>
          <w:color w:val="auto"/>
        </w:rPr>
      </w:pPr>
    </w:p>
    <w:p>
      <w:pPr>
        <w:jc w:val="both"/>
        <w:ind w:left="60" w:firstLine="360"/>
        <w:spacing w:after="0" w:line="258" w:lineRule="auto"/>
        <w:rPr>
          <w:sz w:val="20"/>
          <w:szCs w:val="20"/>
          <w:color w:val="auto"/>
        </w:rPr>
      </w:pPr>
      <w:r>
        <w:rPr>
          <w:rFonts w:ascii="Times New Roman" w:cs="Times New Roman" w:eastAsia="Times New Roman" w:hAnsi="Times New Roman"/>
          <w:sz w:val="20"/>
          <w:szCs w:val="20"/>
          <w:color w:val="auto"/>
        </w:rPr>
        <w:t>We may leverage our scientific insights in neurodegeneration and neuroinflammation and advanced tools in molecular biology, biochemistry, and imaging to expand our science to other diseases, including other diseases in which filamin A may be associated with the disease process. New indications and new drug development approaches may complement or supersede our current focus priorities.</w:t>
      </w:r>
    </w:p>
    <w:p>
      <w:pPr>
        <w:spacing w:after="0" w:line="178" w:lineRule="exact"/>
        <w:rPr>
          <w:sz w:val="20"/>
          <w:szCs w:val="20"/>
          <w:color w:val="auto"/>
        </w:rPr>
      </w:pPr>
    </w:p>
    <w:p>
      <w:pPr>
        <w:ind w:left="80" w:right="80" w:firstLine="360"/>
        <w:spacing w:after="0" w:line="258" w:lineRule="auto"/>
        <w:rPr>
          <w:sz w:val="20"/>
          <w:szCs w:val="20"/>
          <w:color w:val="auto"/>
        </w:rPr>
      </w:pPr>
      <w:r>
        <w:rPr>
          <w:rFonts w:ascii="Times New Roman" w:cs="Times New Roman" w:eastAsia="Times New Roman" w:hAnsi="Times New Roman"/>
          <w:sz w:val="20"/>
          <w:szCs w:val="20"/>
          <w:color w:val="auto"/>
        </w:rPr>
        <w:t>In addition, we are exploring and incorporating artificial intelligence (AI) capabilities and related data analytics to target improvements in productivity and efficiency in our business, enhancements to research and development activities, and advancements in statistical analysis capabilities.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Simufilam Drug Supply</w:t>
      </w:r>
    </w:p>
    <w:p>
      <w:pPr>
        <w:spacing w:after="0" w:line="23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have a drug supply agreement with Evonik Industries AG for simufilam. Under the agreement, Evonik supplies and is expected to continue to supply us with clinical-grade quantities of simufilam. Evonik is one of the world’s largest contract development and manufacturing organizations for pharmaceutical ingredients. Other vendors supply excipients, the finished dosage form (i.e., simufilam tablets), drug packaging, package labeling and other critical components of the supply chain for drug supply that can be used for clinical studies.</w:t>
      </w: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SavaDx</w:t>
      </w:r>
    </w:p>
    <w:p>
      <w:pPr>
        <w:spacing w:after="0" w:line="235" w:lineRule="exact"/>
        <w:rPr>
          <w:sz w:val="20"/>
          <w:szCs w:val="20"/>
          <w:color w:val="auto"/>
        </w:rPr>
      </w:pPr>
    </w:p>
    <w:p>
      <w:pPr>
        <w:jc w:val="both"/>
        <w:ind w:left="100" w:firstLine="360"/>
        <w:spacing w:after="0" w:line="251" w:lineRule="auto"/>
        <w:rPr>
          <w:sz w:val="20"/>
          <w:szCs w:val="20"/>
          <w:color w:val="auto"/>
        </w:rPr>
      </w:pPr>
      <w:r>
        <w:rPr>
          <w:rFonts w:ascii="Times New Roman" w:cs="Times New Roman" w:eastAsia="Times New Roman" w:hAnsi="Times New Roman"/>
          <w:sz w:val="20"/>
          <w:szCs w:val="20"/>
          <w:color w:val="auto"/>
        </w:rPr>
        <w:t>Our product candidate, called SavaDx, is an early-stage program focused on detecting the presence of Alzheimer’s disease from a small sample of blood. For business, technical and personnel reasons, we discontinued the development of SavaDx as of mid-2025. SavaDx is a research-use only, non-safety related exploratory biomarker. Development activity related to SavaDx accounted for less than 1% of our research budget in all periods presented.</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4"/>
          <w:szCs w:val="24"/>
          <w:color w:val="auto"/>
        </w:rPr>
        <w:t>12 / 117</w:t>
      </w:r>
    </w:p>
    <w:p>
      <w:pPr>
        <w:sectPr>
          <w:pgSz w:w="12240" w:h="15840" w:orient="portrait"/>
          <w:cols w:equalWidth="0" w:num="1">
            <w:col w:w="10900"/>
          </w:cols>
          <w:pgMar w:left="620" w:top="784" w:right="720" w:bottom="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Our Strategy</w:t>
      </w: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goal is to develop product candidates to diagnose and/or treat central nervous system disorders, such as TSC-related epilepsy.</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Key elements of our business strategy to achieve this mission include:</w:t>
      </w:r>
    </w:p>
    <w:p>
      <w:pPr>
        <w:spacing w:after="0" w:line="208" w:lineRule="exact"/>
        <w:rPr>
          <w:sz w:val="20"/>
          <w:szCs w:val="20"/>
          <w:color w:val="auto"/>
        </w:rPr>
      </w:pPr>
    </w:p>
    <w:p>
      <w:pPr>
        <w:ind w:left="760" w:right="20" w:hanging="370"/>
        <w:spacing w:after="0" w:line="258"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building a lean company that is narrowly focused on developing innovative product candidates for central nervous system disorders such as TSC-related epilepsy;</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publishing scientific data in peer-reviewed journals;</w:t>
      </w:r>
    </w:p>
    <w:p>
      <w:pPr>
        <w:spacing w:after="0" w:line="3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development capabilities to advance our product candidates through clinical proof-of-concept studies and beyond;</w:t>
      </w:r>
    </w:p>
    <w:p>
      <w:pPr>
        <w:spacing w:after="0" w:line="55" w:lineRule="exact"/>
        <w:rPr>
          <w:rFonts w:ascii="Times New Roman" w:cs="Times New Roman" w:eastAsia="Times New Roman" w:hAnsi="Times New Roman"/>
          <w:sz w:val="20"/>
          <w:szCs w:val="20"/>
          <w:color w:val="auto"/>
        </w:rPr>
      </w:pPr>
    </w:p>
    <w:p>
      <w:pPr>
        <w:ind w:left="760" w:right="20" w:hanging="370"/>
        <w:spacing w:after="0" w:line="258"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our expertise and experience to continue to focus on discovering new indications and product candidates, validated by experimental evidence and leading experts in the field; and</w:t>
      </w:r>
    </w:p>
    <w:p>
      <w:pPr>
        <w:spacing w:after="0" w:line="1" w:lineRule="exact"/>
        <w:rPr>
          <w:rFonts w:ascii="Times New Roman" w:cs="Times New Roman" w:eastAsia="Times New Roman" w:hAnsi="Times New Roman"/>
          <w:sz w:val="20"/>
          <w:szCs w:val="20"/>
          <w:color w:val="auto"/>
        </w:rPr>
      </w:pPr>
    </w:p>
    <w:p>
      <w:pPr>
        <w:ind w:left="760" w:hanging="370"/>
        <w:spacing w:after="0" w:line="250"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outsource preclinical studies, clinical studies and formulation development activities in order to allow more efficient deployment of our resources</w:t>
      </w:r>
    </w:p>
    <w:p>
      <w:pPr>
        <w:spacing w:after="0" w:line="18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We also conduct basic research and development in collaboration with academic and other partners. Our research and development expenses were $26.6 million, $69.6 million and $89.4 million for the year ended December 31, 2025, 2024 and 2023, respectively. See “</w:t>
      </w:r>
      <w:r>
        <w:rPr>
          <w:rFonts w:ascii="Times New Roman" w:cs="Times New Roman" w:eastAsia="Times New Roman" w:hAnsi="Times New Roman"/>
          <w:sz w:val="20"/>
          <w:szCs w:val="20"/>
          <w:i w:val="1"/>
          <w:iCs w:val="1"/>
          <w:color w:val="auto"/>
        </w:rPr>
        <w:t>Item 7. 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Discussion and Analysis of Financial Condition and Results of Operations</w:t>
      </w:r>
      <w:r>
        <w:rPr>
          <w:rFonts w:ascii="Times New Roman" w:cs="Times New Roman" w:eastAsia="Times New Roman" w:hAnsi="Times New Roman"/>
          <w:sz w:val="20"/>
          <w:szCs w:val="20"/>
          <w:color w:val="auto"/>
        </w:rPr>
        <w:t>” for additional details regarding our research and development activities.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5"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The drug discovery and development industry is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Any product candidates that we successfully develop and commercialize may compete with existing therapies and new therapies that may become available in the future.</w:t>
      </w:r>
    </w:p>
    <w:p>
      <w:pPr>
        <w:spacing w:after="0" w:line="187"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Many of our competitors have significantly greater financial resources, an established presence in the market, as well as expertise in research and development, manufacturing, preclinical and clinical testing, obtaining regulatory approvals and reimbursement and marketing-approved products. These competitors compete with us in recruiting and retaining qualified scientific and technical personnel, establishing clinical study sites and patient registration for clinical studies, as well as in acquiring or developing technologies complementary to, or necessary for, our programs. Smaller or early-stage companies may also prove to be significant competitors, particularly through collaborative arrangements with large and established companies, significant financial backing from large investors and/or access to intellectual property from large established companies.</w:t>
      </w:r>
    </w:p>
    <w:p>
      <w:pPr>
        <w:spacing w:after="0" w:line="191"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The key competitive factors affecting the success of simufilam, and any other product candidates that we develop, if approved, are likely to be efficacy, safety, convenience, price, level of generic competition, patient and physician acceptance and availability of reimbursement from government and other third-party payors. Our commercial opportunity could be reduced or eliminated if our competitors develop and commercialize products that are more effective, have fewer or less severe side effects, are more convenient or are less expensive than products that we may develop.</w:t>
      </w:r>
    </w:p>
    <w:p>
      <w:pPr>
        <w:spacing w:after="0" w:line="18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With respect to TSC-related epilepsy, two pharmacological treatment categories are approved for this patient population. The first category is Traditional Anti-seizure Medications (ASMs), which include the standard of care (SOC) Vigabatrin, and options such as Levetiracetam, Valproate, and Clobazam. The second category is Disease-Specific ASMs, which are treatments indicated specifically for TSC-related epilepsy. Currently, there are two approved treatments for seizures associated with TSC: Afinitor Disperz (everolimus tablets for oral suspension) and Epidiolex (cannabidiol), both of which offer unique advantages and notable challenges. Everolimus, an mTOR inhibitor, is the only FDA-approved treatment that directly targets the underlying pathophysiology of TSC.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13 / 117</w:t>
      </w:r>
    </w:p>
    <w:p>
      <w:pPr>
        <w:sectPr>
          <w:pgSz w:w="12240" w:h="15840" w:orient="portrait"/>
          <w:cols w:equalWidth="0" w:num="1">
            <w:col w:w="10820"/>
          </w:cols>
          <w:pgMar w:left="700" w:top="788" w:right="720" w:bottom="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32"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Simufilam and any future product candidates must be manufactured for clinical trial use in compliance with current good manufacturing practices (cGMP) regulations. These regulations are extensive, stringent and complex, and may include requirements regarding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manufacturing vendors must have facilities to make our product candidates in strict compliance with cGMP requirements and the FDA’s or comparable foreign regulatory authorities’ satisfaction. Our third-party vendors may also be subject to periodic and unannounced inspections of their respective facilities for general cGMP compliance by the FDA and other foreign authorities. These inspections may include review of procedures and operations used in the testing and manufacture of simufilam to assess compliance with applicable regulations.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Contract manufacturers often encounter difficulties involving production yields, quality control and quality assurance, as well as shortages of qualified personnel. Any of these actions or events could have a material impact on the availability of simufilam. Our suppliers may be forced to stop producing, storing, shipping or testing our drug product candidates if they fall out of compliance with government regulations and standards.</w:t>
      </w:r>
    </w:p>
    <w:p>
      <w:pPr>
        <w:spacing w:after="0" w:line="20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Although we are ultimately responsible for the manufacture of simufilam and any other future product candidates, we have limited or no control over our suppliers’ compliance, or lack thereof, with the multitude of regulations and standards that affect our product candidates. We cannot control decisions by our suppliers that affect their ability or willingness to continue to supply us on acceptable terms, or at all.</w:t>
      </w:r>
    </w:p>
    <w:p>
      <w:pPr>
        <w:spacing w:after="0" w:line="184"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We do not own or lease any manufacturing facilities. We outsource formulation, manufacturing and related activities to third parties. For the foreseeable future, we will continue to rely on third parties to conduct certain quality control and assurance testing, shipping or storage of our product candidates.</w:t>
      </w:r>
    </w:p>
    <w:p>
      <w:pPr>
        <w:spacing w:after="0" w:line="18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currently rely on one non-affiliated contract development and manufacturing organization (CDMO)—Evonik Corporation—to manufacture simufilam and expect to continue to do so. In 2021, we entered into an agreement with Evonik Corporation to supply clinical-grade quantities of drug substance for simufilam. The goal of our manufacturing strategy is to ensure the integrity of the supply chain for drug substance in compliance with FDA standards. We believe raw materials for our product candidate are readily available from reliable sources.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5"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Government authorities in the U.S. at the federal, state and local level and in other countries regulate, among other things, the research, development, testing, manufacture, quality control, approval, labeling, packaging, storage, record- keeping, promotion, advertising, distribution, post- approval monitoring and reporting, marketing and export and import of drug and diagnostic products. Generally, before a new drug or diagnostic can be marketed, considerable data demonstrating its quality, safety and efficacy and/or specificity must be obtained, organized into a format specific for each regulatory authority, submitted for review and approved by the regulatory authority.</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U.S. Drug Development</w:t>
      </w:r>
    </w:p>
    <w:p>
      <w:pPr>
        <w:spacing w:after="0" w:line="229"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In the U.S., FDA regulates drugs under the Food, Drug, and Cosmetic Act (the “FDCA”). Both drugs and diagnostics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14 / 117</w:t>
      </w:r>
    </w:p>
    <w:p>
      <w:pPr>
        <w:sectPr>
          <w:pgSz w:w="12240" w:h="15840" w:orient="portrait"/>
          <w:cols w:equalWidth="0" w:num="1">
            <w:col w:w="10820"/>
          </w:cols>
          <w:pgMar w:left="700" w:top="784" w:right="720" w:bottom="0" w:gutter="0" w:footer="0" w:header="0"/>
        </w:sectPr>
      </w:pPr>
    </w:p>
    <w:bookmarkStart w:id="14" w:name="page15"/>
    <w:bookmarkEnd w:id="14"/>
    <w:p>
      <w:pPr>
        <w:ind w:firstLine="360"/>
        <w:spacing w:after="0" w:line="274" w:lineRule="auto"/>
        <w:rPr>
          <w:sz w:val="20"/>
          <w:szCs w:val="20"/>
          <w:color w:val="auto"/>
        </w:rPr>
      </w:pPr>
      <w:r>
        <w:rPr>
          <w:rFonts w:ascii="Times New Roman" w:cs="Times New Roman" w:eastAsia="Times New Roman" w:hAnsi="Times New Roman"/>
          <w:sz w:val="20"/>
          <w:szCs w:val="20"/>
          <w:color w:val="auto"/>
        </w:rPr>
        <w:t>Product candidates must be approved by FDA before they may be commercialized in the U.S. The drug approval process generally includes the following sequence of steps:</w:t>
      </w:r>
    </w:p>
    <w:p>
      <w:pPr>
        <w:spacing w:after="0" w:line="168" w:lineRule="exact"/>
        <w:rPr>
          <w:sz w:val="20"/>
          <w:szCs w:val="20"/>
          <w:color w:val="auto"/>
        </w:rPr>
      </w:pPr>
    </w:p>
    <w:p>
      <w:pPr>
        <w:ind w:left="740" w:hanging="370"/>
        <w:spacing w:after="0" w:line="258"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good laboratory practice;</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FDA of an IND, which must become effective before human clinical studies may begin;</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(IRB) or ethics committee before each study may be initiated;</w:t>
      </w:r>
    </w:p>
    <w:p>
      <w:pPr>
        <w:spacing w:after="0" w:line="55" w:lineRule="exact"/>
        <w:rPr>
          <w:rFonts w:ascii="Times New Roman" w:cs="Times New Roman" w:eastAsia="Times New Roman" w:hAnsi="Times New Roman"/>
          <w:sz w:val="20"/>
          <w:szCs w:val="20"/>
          <w:color w:val="auto"/>
        </w:rPr>
      </w:pPr>
    </w:p>
    <w:p>
      <w:pPr>
        <w:jc w:val="both"/>
        <w:ind w:left="740" w:hanging="370"/>
        <w:spacing w:after="0" w:line="252"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studies in accordance with applicable IND regulations, code of cGCP, requirements and other clinical trial-related regulations to establish the safety and efficacy of the investigational product for each proposed indication;</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FDA of a new drug application (NDA);</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FDA within 60 days of its receipt of an NDA to accept the filing for review;</w:t>
      </w:r>
    </w:p>
    <w:p>
      <w:pPr>
        <w:spacing w:after="0" w:line="55" w:lineRule="exact"/>
        <w:rPr>
          <w:rFonts w:ascii="Times New Roman" w:cs="Times New Roman" w:eastAsia="Times New Roman" w:hAnsi="Times New Roman"/>
          <w:sz w:val="20"/>
          <w:szCs w:val="20"/>
          <w:color w:val="auto"/>
        </w:rPr>
      </w:pPr>
    </w:p>
    <w:p>
      <w:pPr>
        <w:jc w:val="both"/>
        <w:ind w:left="740" w:hanging="370"/>
        <w:spacing w:after="0" w:line="252"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pre-approval inspection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FDA audit of the preclinical study and/or clinical study sites that generated the data in support of the NDA;</w:t>
      </w:r>
    </w:p>
    <w:p>
      <w:pPr>
        <w:spacing w:after="0" w:line="30" w:lineRule="exact"/>
        <w:rPr>
          <w:rFonts w:ascii="Times New Roman" w:cs="Times New Roman" w:eastAsia="Times New Roman" w:hAnsi="Times New Roman"/>
          <w:sz w:val="20"/>
          <w:szCs w:val="20"/>
          <w:color w:val="auto"/>
        </w:rPr>
      </w:pPr>
    </w:p>
    <w:p>
      <w:pPr>
        <w:ind w:left="740" w:right="20" w:hanging="370"/>
        <w:spacing w:after="0" w:line="259" w:lineRule="auto"/>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including consideration of the views of any FDA advisory committee, prior to any commercial marketing or sale of the drug in the U.S.; and</w:t>
      </w:r>
    </w:p>
    <w:p>
      <w:pPr>
        <w:ind w:left="740" w:hanging="370"/>
        <w:spacing w:after="0"/>
        <w:tabs>
          <w:tab w:leader="none" w:pos="7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conduct post-approval studies.</w:t>
      </w:r>
    </w:p>
    <w:p>
      <w:pPr>
        <w:spacing w:after="0" w:line="256"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data required to support an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Studies and IND</w:t>
      </w:r>
    </w:p>
    <w:p>
      <w:pPr>
        <w:spacing w:after="0" w:line="22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preclinical developmental stage generally involves laboratory evaluations of drug chemistry, formulation and stability, as well as studies to evaluate toxicity in animals, which support subsequent clinical testing. As sponsor, we must submit the results of the preclinical studies, together with manufacturing information, analytical data, any available clinical data or literature and a proposed clinical protocol, to FDA as part of the IND. An IND is a request for authorization from FDA to administer an investigational product to humans and must become effective before human clinical studies may begin.</w:t>
      </w:r>
    </w:p>
    <w:p>
      <w:pPr>
        <w:spacing w:after="0" w:line="18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cGCP regulations for safety/toxicology studies. An IND sponsor must submit the results of the preclinical tests, together with manufacturing information, analytical data, any available clinical data or literature and plans for clinical studies, among other things, to FDA as part of an IND. Some long-term preclinical testing, such as long -term toxicity tests, animal tests of reproductive adverse events and carcinogenicity, may continue after the IND is submitted. An IND automatically becomes effective 30 days after receipt by FDA, unless before that time FDA raises concerns or questions about any aspect of the program. In such a case, the IND sponsor and FDA must resolve any outstanding concerns before the clinical study can begin.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Studies</w:t>
      </w:r>
    </w:p>
    <w:p>
      <w:pPr>
        <w:spacing w:after="0" w:line="229"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clinical stage of development involves the administration of the investigational product to healthy volunteers or patients under the supervision of qualified investigators, generally physicians not employed by or under the study sponsor’s control, in accordance with cGCP requirements, which include the requirement that all research subjects provide their informed consent for participation in any clinical trial. Clinical studies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FDA as part of the IND. Furthermore, each clinical study must be reviewed and approved by an IRB for each institution at which the clinical study will be conducted to ensure that the risks to individuals participating in the clinical studies are minimized and are reasonable in relation to anticipated benefits. The IRB also approves the informed consent form that must be provided to each clinical study subject or his or her legal representative and must monitor the clinical study until completed. There also are requirements governing the reporting of ongoing clinical studies and completed clinical study results to public registries.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15 / 117</w:t>
      </w:r>
    </w:p>
    <w:p>
      <w:pPr>
        <w:sectPr>
          <w:pgSz w:w="12240" w:h="15840" w:orient="portrait"/>
          <w:cols w:equalWidth="0" w:num="1">
            <w:col w:w="10800"/>
          </w:cols>
          <w:pgMar w:left="720" w:top="788" w:right="720" w:bottom="0" w:gutter="0" w:footer="0" w:header="0"/>
        </w:sectPr>
      </w:pPr>
    </w:p>
    <w:bookmarkStart w:id="15" w:name="page16"/>
    <w:bookmarkEnd w:id="15"/>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 sponsor who wishes to conduct a clinical study outside of the U.S. may, but need not, obtain FDA authorization to conduct the clinical study under an IND. If a foreign clinical study is not conducted under an IND, the sponsor may submit data from the clinical study to FDA in support of an NDA. The FDA may accept a well -designed and well-conducted foreign clinical study not conducted under an IND if the study was conducted in accordance with cGCP requirements and FDA is able to validate the data through an onsite inspection if deemed necessary.</w:t>
      </w:r>
    </w:p>
    <w:p>
      <w:pPr>
        <w:spacing w:after="0" w:line="187"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Clinical studies in the U.S. generally are conducted in three sequential phases, known as Phase 1, Phase 2 and Phase 3, and may overlap.</w:t>
      </w:r>
    </w:p>
    <w:p>
      <w:pPr>
        <w:spacing w:after="0" w:line="169" w:lineRule="exact"/>
        <w:rPr>
          <w:sz w:val="20"/>
          <w:szCs w:val="20"/>
          <w:color w:val="auto"/>
        </w:rPr>
      </w:pPr>
    </w:p>
    <w:p>
      <w:pPr>
        <w:jc w:val="both"/>
        <w:ind w:left="740" w:hanging="370"/>
        <w:spacing w:after="0" w:line="252"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clinical studies generally involve a small number of healthy volunteers or disease-affected patients who are initially exposed to a single dose and then multiple doses of the product candidate. The primary purpose of these clinical studies is to assess the absorption, metabolism, pharmacologic action, tolerability and safety of a drug candidate.</w:t>
      </w:r>
    </w:p>
    <w:p>
      <w:pPr>
        <w:spacing w:after="0" w:line="1" w:lineRule="exact"/>
        <w:rPr>
          <w:rFonts w:ascii="Times New Roman" w:cs="Times New Roman" w:eastAsia="Times New Roman" w:hAnsi="Times New Roman"/>
          <w:sz w:val="20"/>
          <w:szCs w:val="20"/>
          <w:color w:val="auto"/>
        </w:rPr>
      </w:pPr>
    </w:p>
    <w:p>
      <w:pPr>
        <w:jc w:val="both"/>
        <w:ind w:left="740" w:hanging="370"/>
        <w:spacing w:after="0" w:line="242"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clinical studies involve studies in disease-affected patients to determine the proper dose required to produce the desired benefits. At the same time, safety and further pharmacokinetic and pharmacodynamic information is collected, possible adverse effects and safety risks are identified, and a preliminary evaluation of efficacy may be observed.</w:t>
      </w:r>
    </w:p>
    <w:p>
      <w:pPr>
        <w:spacing w:after="0" w:line="2" w:lineRule="exact"/>
        <w:rPr>
          <w:rFonts w:ascii="Times New Roman" w:cs="Times New Roman" w:eastAsia="Times New Roman" w:hAnsi="Times New Roman"/>
          <w:sz w:val="20"/>
          <w:szCs w:val="20"/>
          <w:color w:val="auto"/>
        </w:rPr>
      </w:pPr>
    </w:p>
    <w:p>
      <w:pPr>
        <w:jc w:val="both"/>
        <w:ind w:left="740" w:hanging="370"/>
        <w:spacing w:after="0" w:line="243"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clinical studies generally involve enrolling many patients at multiple sites and are designed to provide the data necessary to demonstrate the effectiveness of the product candidate for its intended use, its safety in use and to establish the overall benefit/risk relationship of the product candidate and provide an adequate basis for product approval. These studies may include comparisons with placebo and/or other comparator treatments. The duration of treatment is often extended to mimic the actual use of a product during marketing.</w:t>
      </w:r>
    </w:p>
    <w:p>
      <w:pPr>
        <w:spacing w:after="0" w:line="19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Post-approval studies, sometimes referred to as Phase 4 clinical studies, may be conducted after initial marketing approval. These studies are used to gain additional experience from the treatment of patients in the intended therapeutic indication. In certain instances, FDA may mandate the performance of Phase 4 clinical studies as a condition of approval of an NDA.</w:t>
      </w:r>
    </w:p>
    <w:p>
      <w:pPr>
        <w:spacing w:after="0" w:line="18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Progress reports detailing the results of the clinical studies, among other information, must be submitted at least annually to FDA. Written safety reports and the investigations for serious and unexpected adverse events, or any other findings suggesting a significant risk to humans exposed to the drug must be submitted to FDA.</w:t>
      </w:r>
    </w:p>
    <w:p>
      <w:pPr>
        <w:spacing w:after="0" w:line="18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Phase 1, Phase 2, and Phase 3 clinical studies may not be completed successfully within any specified period, if at all. The FDA or the sponsor may suspend or terminate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 Additionally, some clinical studies are overseen by an independent group of qualified experts organized by the clinical study sponsor, known as a Data and Safety Monitoring Board (DSMB). This group provides authorization for whether a study may move forward at designated check-points based on access to certain data from the trial. Concurrent with clinical studies, companies usually complete additional animal studies and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NDA Review Process</w:t>
      </w:r>
    </w:p>
    <w:p>
      <w:pPr>
        <w:spacing w:after="0" w:line="22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Following completion of the clinical studies, data is analyzed to assess whether the investigational product is safe and effective for the proposed indicated use or uses. The results of preclinical studies and clinical studies are then submitted to FDA as part of an NDA, along with proposed labeling, chemistry and manufacturing information to ensure product quality and other relevant data. In short, the NDA is a request for approval to market a drug for one or more specified indication and must contain proof of safety and efficacy for a drug’s purity and potency. The application may include both negative and ambiguous results of preclinical studies and clinical studies, as well as positive findings. Data may come from company-sponsored clinical studies intended to test the safety and efficacy of a product’s use or from several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16 / 117</w:t>
      </w:r>
    </w:p>
    <w:p>
      <w:pPr>
        <w:sectPr>
          <w:pgSz w:w="12240" w:h="15840" w:orient="portrait"/>
          <w:cols w:equalWidth="0" w:num="1">
            <w:col w:w="10800"/>
          </w:cols>
          <w:pgMar w:left="720" w:top="788" w:right="720" w:bottom="0" w:gutter="0" w:footer="0" w:header="0"/>
        </w:sectPr>
      </w:pPr>
    </w:p>
    <w:bookmarkStart w:id="16" w:name="page17"/>
    <w:bookmarkEnd w:id="16"/>
    <w:p>
      <w:pPr>
        <w:jc w:val="both"/>
        <w:ind w:left="20" w:firstLine="360"/>
        <w:spacing w:after="0" w:line="265" w:lineRule="auto"/>
        <w:rPr>
          <w:sz w:val="20"/>
          <w:szCs w:val="20"/>
          <w:color w:val="auto"/>
        </w:rPr>
      </w:pPr>
      <w:r>
        <w:rPr>
          <w:rFonts w:ascii="Times New Roman" w:cs="Times New Roman" w:eastAsia="Times New Roman" w:hAnsi="Times New Roman"/>
          <w:sz w:val="19"/>
          <w:szCs w:val="19"/>
          <w:color w:val="auto"/>
        </w:rPr>
        <w:t>Under the Prescription Drug User Fee Act (PDUFA), as amended, each NDA must be accompanied by a user fee. FDA adjusts the PDUFA user fees on an annual basis. According to FDA’s fiscal year 2026 fee schedule, effective through September 30, 2026, the user fee for an application requiring clinical data, such as an NDA, is approximately $4.7 million.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74"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 FDA reviews all submitted NDAs before it accepts them for filing and may request additional information rather than accept the NDA for filing. The FDA must decide whether to accept an NDA for filing within 60 days of receipt. Once the submission is accepted for filing, FDA begins an in-depth review of the NDA. Under the goals and policies agreed to by FDA under PDUFA, FDA has 10 months, from the filing date, in which to complete its initial review of a new molecular-entity NDA and respond to the applicant, and six months from the filing date of a new molecular-entity NDA designated for priority review. The FDA does not always meet its PDUFA goal dates for standard and priority NDAs, and the review process is often extended by FDA requests for additional information or clarification.</w:t>
      </w:r>
    </w:p>
    <w:p>
      <w:pPr>
        <w:spacing w:after="0" w:line="18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limited circumstances, FDA may grant accelerated approval for a drug intended to treat a serious or life-threatening disease or condition, including rare diseases, based on a surrogate endpoint or intermediate clinical endpoint that is reasonably likely to predict clinical benefit. Approval under this pathway is generally conditioned on the sponsor’s obligation to conduct one or more post-marketing confirmatory clinical trials to verify and describe the anticipated clinical benefit. If such confirmatory trials fail to confirm clinical benefit, are not conducted with due diligence, or otherwise do not satisfy FDA requirements, FDA may withdraw approval or require changes to labeling or other regulatory actions. There can be no assurance that FDA will determine that any of our product candidates are eligible for accelerated approval, that any surrogate or intermediate endpoint will be acceptable to FDA, or that any required post-approval studies will be completed successfully or on a timely basis.</w:t>
      </w:r>
    </w:p>
    <w:p>
      <w:pPr>
        <w:spacing w:after="0" w:line="194"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9"/>
          <w:szCs w:val="19"/>
          <w:color w:val="auto"/>
        </w:rPr>
        <w:t>Before approving an NDA, FDA may conduct a pre-approval inspection of the manufacturing facilities for the new product to determine whether they comply with cGMP requirements. The FDA will not approve the product unless it determines that the manufacturing processes and facilities fully comply with cGMP requirements and are adequate to assure consistent production of the product within required specifications. The FDA also may audit data from clinical studies to ensure compliance with cGCP requirements. Additionally, FDA may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study data, which could result in extensive discussions between FDA and the applicant during the review process. After FDA evaluates an NDA, it will issue either an approval letter or a Complete Response Letter (CRL). An approval letter authorizes commercial marketing of the drug with specific prescribing information for specific indications. A CRL indicates that FDA’s review of the application is complete and the application cannot be approved in its present form. A CRL usually describes the specific deficiencies in the NDA identified by FDA. The CRL may require additional clinical data, additional pivotal Phase 3 clinical trial(s) and/or other significant and time-consuming requirements related to clinical studies, preclinical studies or manufacturing. If a CRL is issued, the applicant may either resubmit the NDA, addressing all the deficiencies identified in the CRL, or withdraw the application. Even if such data and information are submitted, FDA may decide that the NDA does not satisfy the criteria for approval. Data obtained from clinical studies are not always conclusive and FDA may interpret data differently than we interpret the same data.</w:t>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Commercialization Plan</w:t>
      </w:r>
    </w:p>
    <w:p>
      <w:pPr>
        <w:spacing w:after="0" w:line="229"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Our product candidates have not received marketing approval from the FDA, and we do not expect to have any approved product candidates in the near term. We currently have no company experience in marketing drugs and we do not have the personnel, capabilities or infrastructure necessary for sales, marketing, third-party payor programs or commercial product distribution. When and if any of our product candidates are approved for commercialization, we will need to develop a commercialization infrastructure for any such product in the U.S. and potentially in certain other key markets. As a matter of strategy, we may also rely on partnerships or collaborations with larger biopharmaceutical companies to provide commercialization infrastructure, such as sales and marketing and commercial distribution.</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Advertising and Promotion</w:t>
      </w:r>
    </w:p>
    <w:p>
      <w:pPr>
        <w:spacing w:after="0" w:line="226" w:lineRule="exact"/>
        <w:rPr>
          <w:sz w:val="20"/>
          <w:szCs w:val="20"/>
          <w:color w:val="auto"/>
        </w:rPr>
      </w:pPr>
    </w:p>
    <w:p>
      <w:pPr>
        <w:jc w:val="both"/>
        <w:ind w:left="20" w:firstLine="360"/>
        <w:spacing w:after="0" w:line="260" w:lineRule="auto"/>
        <w:rPr>
          <w:sz w:val="20"/>
          <w:szCs w:val="20"/>
          <w:color w:val="auto"/>
        </w:rPr>
      </w:pPr>
      <w:r>
        <w:rPr>
          <w:rFonts w:ascii="Times New Roman" w:cs="Times New Roman" w:eastAsia="Times New Roman" w:hAnsi="Times New Roman"/>
          <w:sz w:val="19"/>
          <w:szCs w:val="19"/>
          <w:color w:val="auto"/>
        </w:rPr>
        <w:t>The FDA and other federal regulatory agencies closely regulate the marketing and promotion of drugs through, among other things, standards and regulations for direct-to-consumer advertising, communications regarding unapproved uses, industry-sponsored scientific and educational activities, and promotional activities involving the Internet. None of our product candidates can be commercially promoted before receiving FDA approval. After approval, product promotion can include only those claims relating to safety and effectiveness that are consistent with the labeling approved by FDA. Healthcare providers are permitted to prescribe drugs for “off-label” uses - that is, uses not approved by FDA and therefore not described in the drug’s labeling - because FDA does not regulate the practice of medicine. However, FDA regulations impose stringent restrictions on manufacturers’ communications regarding off-label uses. Failure to comply with applicable FDA requirements and restrictions in this area may subject us to adverse publicity and</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17 / 117</w:t>
      </w:r>
    </w:p>
    <w:p>
      <w:pPr>
        <w:sectPr>
          <w:pgSz w:w="12240" w:h="15840" w:orient="portrait"/>
          <w:cols w:equalWidth="0" w:num="1">
            <w:col w:w="10820"/>
          </w:cols>
          <w:pgMar w:left="700" w:top="788" w:right="720" w:bottom="0" w:gutter="0" w:footer="0" w:header="0"/>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20"/>
          <w:szCs w:val="20"/>
          <w:color w:val="auto"/>
        </w:rPr>
        <w:t>enforcement action by FDA, the U.S. Department of Justice, or the Office of the Inspector General of Health and Human Services, as well as state authorities. This could subject us to a range of penalties that could have a significant commercial impact, including civil and criminal fines and agreements that materially restrict the manner in which we promote or distribute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18 / 117</w:t>
      </w:r>
    </w:p>
    <w:p>
      <w:pPr>
        <w:sectPr>
          <w:pgSz w:w="12240" w:h="15840" w:orient="portrait"/>
          <w:cols w:equalWidth="0" w:num="1">
            <w:col w:w="10800"/>
          </w:cols>
          <w:pgMar w:left="720" w:top="557" w:right="72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226"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After a product candidate receives regulatory approval, it is often subject to pervasive and continuing regulation by FDA, including, among other things, requirements relating to drug listing and registration, recordkeeping, periodic reporting, product sampling and distribution, adverse event reporting and advertising, marketing and promotion restrictions.</w:t>
      </w:r>
    </w:p>
    <w:p>
      <w:pPr>
        <w:spacing w:after="0" w:line="17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Adverse event reporting and submission of periodic reports is required following FDA approval of an NDA. The FDA also may require post- market testing, known as Phase 4 testing, or FDA may place conditions on an approval that could restrict the distribution or use of the product. In addition, quality control, drug manufacture, packaging, and labeling procedures must continue to conform to cGMP after approval. Drug manufacturers and certain of their subcontractors are required to register their establishments with FDA and certain state agencies. Registration may result in periodic announced or unannounced inspections by FDA or these state agencies, during which the agency inspects manufacturing facilities to assess compliance with cGMP. Accordingly, manufacturers must continue to expend time, money, and effort in the areas of production and quality control to maintain compliance with cGMP. Regulatory authorities may withdraw product approvals or request product recalls if a company fails to comply with regulatory standards, if it encounters problems following initial marketing, or if previously unrecognized problems are subsequently discovered. In addition, other regulatory actions may be taken, including, among other things, warning letters, the seizure of products, injunctions, consent decrees placing significant restrictions on or suspending manufacturing operations, refusal to approve pending applications or supplements to approved applications, civil penalties, and criminal prosecution.</w:t>
      </w:r>
    </w:p>
    <w:p>
      <w:pPr>
        <w:spacing w:after="0" w:line="194"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FDA may require post-approval clinical studies to help assure continued safety or effectiveness of the approved drug. The FDA may also require a labeling change if it becomes aware of new safety information that it believes should be included in the labeling of a drug.</w:t>
      </w:r>
    </w:p>
    <w:p>
      <w:pPr>
        <w:spacing w:after="0" w:line="18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addition to the FDA, manufacturing, sales, promotion and other activities following product approval are also subject to regulation by the Centers for Medicare and Medicaid Services, other divisions of the Department of Health and Human Services, the Department of Justice, the Consumer Product Safety Commission, the Federal Trade Commission, the Occupational Safety &amp; Health Administration, the Environmental Protection Agency, the Affordable Care Act (the “ACA”), other federal agencies and state and local governments.</w:t>
      </w:r>
    </w:p>
    <w:p>
      <w:pPr>
        <w:spacing w:after="0" w:line="18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For example, in the United States, sales, marketing and scientific and educational programs must comply with state and federal fraud and abuse laws. These laws include the federal Anti- 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8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5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9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Changes in regulations, statutes or the interpretation of existing regulations could impact our business in the future by requiring, for example: changes to our manufacturing arrangements; additions or modifications to product labeling, if and when approved; the recall or discontinuation of our products; or additional record-keeping requirements. If any such changes were to be imposed, they could adversely affect the operation of our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19 / 117</w:t>
      </w:r>
    </w:p>
    <w:p>
      <w:pPr>
        <w:sectPr>
          <w:pgSz w:w="12240" w:h="15840" w:orient="portrait"/>
          <w:cols w:equalWidth="0" w:num="1">
            <w:col w:w="10800"/>
          </w:cols>
          <w:pgMar w:left="720" w:top="790" w:right="720"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The Hatch-Waxman Amendments</w:t>
      </w:r>
    </w:p>
    <w:p>
      <w:pPr>
        <w:spacing w:after="0" w:line="226"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seeking approval for our product candidates through an NDA, we will be required to list with FDA each patent whose claims cover the drug product. Upon receiving regulatory approval, each of the patents listed in the application for this drug is then published in FDA’s Approved Drug Products with Therapeutic Equivalence Evaluations, commonly known as the “Orange Book.” Drugs listed in the Orange Book can, in turn, be cited by potential generic competitors in support of approval of an abbreviated NDA, or ANDA. An ANDA provides for marketing of a drug product that has the same active ingredient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efficacy of their drug product. Drugs approved in this way are commonly referred to as “generic equivalents” to the listed drug, and may be substituted by pharmacists under prescriptions written for the original listed drug.</w:t>
      </w:r>
    </w:p>
    <w:p>
      <w:pPr>
        <w:spacing w:after="0" w:line="19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ANDA applicant is required to make certain certifications to FDA concerning any patents listed for the approved product in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 -of-use rather than make certifications concerning a listed method- of-use patent. If the applicant does not challenge the listed patents, the ANDA application will not be approved until all the listed patents claiming the referenced product have expired.</w:t>
      </w:r>
    </w:p>
    <w:p>
      <w:pPr>
        <w:spacing w:after="0" w:line="18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 certification that the new product will not infringe the already approved product’s listed patents, or that such patents are invalid, is called a Paragraph IV certification. If the ANDA applicant has provided a Paragraph IV certification to FDA, the applicant must also send notice of the Paragraph IV certification to the NDA and patent holders once the ANDA has been accepted for filing by FDA. The NDA and patent holders may then initiate a patent infringement lawsuit in response to the notice of the Paragraph IV certification. The filing of a patent infringement lawsuit within 45 days of the receipt of a Paragraph IV certification automatically prevents FDA from approving the ANDA until the earlier of 30 months, expiration of the patent, settlement of the lawsuit, or a decision in the infringement case that is favorable to the ANDA applicant. The ANDA application also will not be approved until any applicable non-patent exclusivity listed in the Orange Book for the referenced product has expired.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Disclosure of Clinical Study Information</w:t>
      </w:r>
    </w:p>
    <w:p>
      <w:pPr>
        <w:spacing w:after="0" w:line="22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Sponsors of clinical studies of FDA-regulated products, including drugs, are required to register and disclose certain clinical study information. Information related to the product, patient population, phase of investigation, clinical study sites and investigators, and other aspects of the clinical study is then made public as part of the registration. Sponsors are also obligated to post certain information regarding the results of their clinical studies after completion. Disclosure of the results of these studies can be delayed until the new product or new indication being studied has been approved. Competitors may use this publicly available information to gain knowledge regarding the progress of development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Regulatory Requirements</w:t>
      </w:r>
    </w:p>
    <w:p>
      <w:pPr>
        <w:spacing w:after="0" w:line="229"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may be subject to federal, state and local environmental laws and regulations, including the Environmental Protection Act and the Clean Air Act. Although we believe that our safety procedures for handling and disposing of controlled materials comply with the standards prescribed by state and federal regulations, accidental contamination or injury from these materials may occur. In the event of such an occurrence, we could be held liable for any damages that result, and any such liability could exceed our resources.</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may also be subject to regulations under other federal, state, and local laws, including the Occupational Safety and Health Act, national restrictions on technology transfer, and import, export, and customs regulations. It is possible that any portion of the regulatory framework under which we operate may change and that such change could have a negative impact on our current and anticipated operations. Failure to comply with these requirements could result, among other things, in suspension of regulatory approval, recalls, injunctions or civil or criminal sanctions.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20 / 117</w:t>
      </w:r>
    </w:p>
    <w:p>
      <w:pPr>
        <w:sectPr>
          <w:pgSz w:w="12240" w:h="15840" w:orient="portrait"/>
          <w:cols w:equalWidth="0" w:num="1">
            <w:col w:w="10800"/>
          </w:cols>
          <w:pgMar w:left="720" w:top="790" w:right="720" w:bottom="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20"/>
          <w:szCs w:val="20"/>
          <w:i w:val="1"/>
          <w:iCs w:val="1"/>
          <w:color w:val="auto"/>
        </w:rPr>
        <w:t>Third-Party Payor Coverage and Reimbursement</w:t>
      </w:r>
    </w:p>
    <w:p>
      <w:pPr>
        <w:spacing w:after="0" w:line="226"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The commercial success of our product candidates, if approved, will depend, in part, upon the availability of coverage and adequate reimbursement from third-party payors at the federal, state and private levels. Third-party payors include governmental programs such as Medicare or Medicaid, private insurance plans and managed care plans. These third-party payors may deny coverage or reimbursement for our product candidates in whole or in part if they determine that our product candidates are not medically appropriate or necessary. Also, third-party payors attempt to control costs by limiting coverage through the use of formularies and other cost-containment mechanisms and the amount of reimbursement for particular procedures or drug treatments.</w:t>
      </w:r>
    </w:p>
    <w:p>
      <w:pPr>
        <w:spacing w:after="0" w:line="191"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Some third-party payors also require pre-approval of coverage for new or innovative devices or drug therapies before they will reimburse healthcare providers who use such therapies. While we cannot predict whether any proposed cost- containment measures will be adopted or otherwise implemented in the future, these requirements or any announcement or adoption of such proposals could have a material adverse effect on our ability to obtain adequate prices for our approved product candidates to operate profitably.</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35"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Our approach to human capital resource management starts with our mission to develop transformative medicines to improve the lives of patients with CNS disorders, such as TSC-related epilepsy and other diseases associated with dysregulation or overexpression of filamin A. Our industry exists in a complex regulatory environment. The unique demands of our industry, together with the challenges of running an enterprise focused on the discovery, development, manufacture and commercialization of innovative medicines, require talent that is highly educated and/or has significant industry experience. Additionally, for certain key functions, we require specific scientific expertise to oversee and conduct research and development activities and the complex manufacturing requirements for biopharmaceutical products.</w:t>
      </w:r>
    </w:p>
    <w:p>
      <w:pPr>
        <w:spacing w:after="0" w:line="18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employees are an essential asset, and we consider our ability to recruit, train, retain and motivate our employees to be critical to our success. We are an equal opportunity employer, and we are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principal of equal employment opportunity, meaning that they are made on the basis of individual skills, knowledge, abilities, job performance and other legitimate criteria and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 By focusing on employee retention and engagement, we also improve our ability to support our clinical trials, our pipeline, business and operations, and also protect the long-term interests of our stockholders. Our success also depends on our ability to attract, engage and retain a diverse group of employees.</w:t>
      </w:r>
    </w:p>
    <w:p>
      <w:pPr>
        <w:spacing w:after="0" w:line="194"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Our base pay program aims to compensate management and staff members relative to the value of the contributions of their role, which takes into account the skills, knowledge and abilities required to perform each position, as well as the experience brought to the job. We also may pay cash bonuses to reward our management team and staff members in alignment with achievement of Company-wide goals that are designed to drive aspects of our strategic priorities that support and advance our strategy across our Company. Our management team and staff members are eligible for the grant of equity awards under our long-term incentive program that are designed to align their long-term interests with that of our stockholders.</w:t>
      </w:r>
    </w:p>
    <w:p>
      <w:pPr>
        <w:spacing w:after="0" w:line="188"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Our benefit programs are generally broad-based, promote health and overall well-being and emphasize saving for retirement. All management team and regular staff members are eligible to participate in the same core health and welfare and retirement savings plans. Other employee benefits may include medical plans, dental plans, vacation and sick-pay plans, flexible spending accounts, life and accident insurance and short and long-term disability benefits.</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Compensation Committee provides oversight of our executive compensation plans, policies and programs.</w:t>
      </w:r>
    </w:p>
    <w:p>
      <w:pPr>
        <w:spacing w:after="0" w:line="231"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we had 17 full-time employees and 3 employees who devote a portion of their professional time to the Company. None of our employees is represented by a labor union or covered under a collective bargaining agreement. We also engage numerous consultants to perform services on retainer, per diem or an hourly basis. We consider our relationship with our employees to be good.</w:t>
      </w:r>
    </w:p>
    <w:p>
      <w:pPr>
        <w:spacing w:after="0" w:line="18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January 7, 2025, we announced a reduction in our workforce by 10 employees, a reduction of 33% (the “Workforce Reduction”). We communicated the Workforce Reduction to affected employees on January 7, 2025. The Workforce Reduction was intended to align our human capital resources to meet our strategic goals, in light of the discontinuation of our clinical trials for Alzheimer’s disease. The Company's Workforce Reduction was completed, and the associated costs and cash payments were made, during the first quarter of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21 / 117</w:t>
      </w:r>
    </w:p>
    <w:p>
      <w:pPr>
        <w:sectPr>
          <w:pgSz w:w="12240" w:h="15840" w:orient="portrait"/>
          <w:cols w:equalWidth="0" w:num="1">
            <w:col w:w="10820"/>
          </w:cols>
          <w:pgMar w:left="700" w:top="790" w:right="720" w:bottom="0" w:gutter="0" w:footer="0" w:header="0"/>
        </w:sectPr>
      </w:pPr>
    </w:p>
    <w:bookmarkStart w:id="21" w:name="page22"/>
    <w:bookmarkEnd w:id="21"/>
    <w:p>
      <w:pPr>
        <w:ind w:left="160"/>
        <w:spacing w:after="0"/>
        <w:rPr>
          <w:sz w:val="20"/>
          <w:szCs w:val="20"/>
          <w:color w:val="auto"/>
        </w:rPr>
      </w:pPr>
      <w:r>
        <w:rPr>
          <w:rFonts w:ascii="Times New Roman" w:cs="Times New Roman" w:eastAsia="Times New Roman" w:hAnsi="Times New Roman"/>
          <w:sz w:val="20"/>
          <w:szCs w:val="20"/>
          <w:b w:val="1"/>
          <w:bCs w:val="1"/>
          <w:color w:val="auto"/>
        </w:rPr>
        <w:t>2025 Non-Product Development Business Developments</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Dismissal of Indictment of Dr. Hoau-Yan Wang</w:t>
      </w:r>
    </w:p>
    <w:p>
      <w:pPr>
        <w:spacing w:after="0" w:line="22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As previously disclosed, Hoau- Yan Wang, PhD, is a former scientific collaborator and advisor to our Company who conducted foundational research relating to our investigational drug, simufilam. On June 28, 2024, the U.S. Department of Justice (DOJ) announced that a federal grand jury in the U.S. District Court for the District of Maryland returned a criminal indictment of Dr. Wang. Among other things, the charges accused Dr. Wang of causing our Company to submit grant applications to the NIH that allegedly contained false and fraudulent representations about his research and of manipulating or otherwise fabricating research results, including Western Blot images that he prepared. On October 23, 2025, the United States District Court for the District of Maryland granted the United States’ unopposed motion to dismiss with prejudice the indictment against Dr. Wang. This order permanently terminates the case against Dr. Wang, and future charges related to the dismissed indictment cannot be refiled against Dr. Wang.</w:t>
      </w:r>
    </w:p>
    <w:p>
      <w:pPr>
        <w:spacing w:after="0" w:line="191" w:lineRule="exact"/>
        <w:rPr>
          <w:sz w:val="20"/>
          <w:szCs w:val="20"/>
          <w:color w:val="auto"/>
        </w:rPr>
      </w:pPr>
    </w:p>
    <w:p>
      <w:pPr>
        <w:jc w:val="both"/>
        <w:ind w:left="60" w:firstLine="360"/>
        <w:spacing w:after="0" w:line="277" w:lineRule="auto"/>
        <w:rPr>
          <w:sz w:val="20"/>
          <w:szCs w:val="20"/>
          <w:color w:val="auto"/>
        </w:rPr>
      </w:pPr>
      <w:r>
        <w:rPr>
          <w:rFonts w:ascii="Times New Roman" w:cs="Times New Roman" w:eastAsia="Times New Roman" w:hAnsi="Times New Roman"/>
          <w:sz w:val="20"/>
          <w:szCs w:val="20"/>
          <w:color w:val="auto"/>
        </w:rPr>
        <w:t>As previously disclosed, the DOJ’s Fraud Section informed the Company on February 18, 2026 that it had closed its inquiry into the Company regarding allegations of research misconduct as described in the now-dismissed indictment of Dr. Wang.</w:t>
      </w: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33" w:lineRule="exact"/>
        <w:rPr>
          <w:sz w:val="20"/>
          <w:szCs w:val="20"/>
          <w:color w:val="auto"/>
        </w:rPr>
      </w:pPr>
    </w:p>
    <w:p>
      <w:pPr>
        <w:jc w:val="both"/>
        <w:ind w:left="80" w:right="20" w:firstLine="360"/>
        <w:spacing w:after="0" w:line="304" w:lineRule="auto"/>
        <w:rPr>
          <w:sz w:val="20"/>
          <w:szCs w:val="20"/>
          <w:color w:val="auto"/>
        </w:rPr>
      </w:pPr>
      <w:r>
        <w:rPr>
          <w:rFonts w:ascii="Times New Roman" w:cs="Times New Roman" w:eastAsia="Times New Roman" w:hAnsi="Times New Roman"/>
          <w:sz w:val="19"/>
          <w:szCs w:val="19"/>
          <w:color w:val="auto"/>
        </w:rPr>
        <w:t>We were incorporated as a Delaware corporation in May 1998 under the name Pain Therapeutics, Inc. In March 2019, we changed our company name to Cassava Sciences, Inc. On March 10, 2026, we changed our company name to Filana Therapeutics, Inc.</w:t>
      </w:r>
    </w:p>
    <w:p>
      <w:pPr>
        <w:spacing w:after="0" w:line="138" w:lineRule="exact"/>
        <w:rPr>
          <w:sz w:val="20"/>
          <w:szCs w:val="20"/>
          <w:color w:val="auto"/>
        </w:rPr>
      </w:pPr>
    </w:p>
    <w:p>
      <w:pPr>
        <w:jc w:val="both"/>
        <w:ind w:left="80" w:firstLine="360"/>
        <w:spacing w:after="0" w:line="277" w:lineRule="auto"/>
        <w:rPr>
          <w:sz w:val="20"/>
          <w:szCs w:val="20"/>
          <w:color w:val="auto"/>
        </w:rPr>
      </w:pPr>
      <w:r>
        <w:rPr>
          <w:rFonts w:ascii="Times New Roman" w:cs="Times New Roman" w:eastAsia="Times New Roman" w:hAnsi="Times New Roman"/>
          <w:sz w:val="19"/>
          <w:szCs w:val="19"/>
          <w:color w:val="auto"/>
        </w:rPr>
        <w:t>Our principal offices are located at 6801 N. Capital of Texas Highway, Building 1; Suite 300, Austin, TX, 78731. Our telephone number is 512-501-2444. Our website address is www.filanatx.com. Information contained on our website is not a part of this Annual Report on Form 10-K and the inclusion of our website address in this Annual Report on Form 10-K is an inactive textual reference only.</w:t>
      </w:r>
    </w:p>
    <w:p>
      <w:pPr>
        <w:spacing w:after="0" w:line="163" w:lineRule="exact"/>
        <w:rPr>
          <w:sz w:val="20"/>
          <w:szCs w:val="20"/>
          <w:color w:val="auto"/>
        </w:rPr>
      </w:pPr>
    </w:p>
    <w:p>
      <w:pPr>
        <w:jc w:val="both"/>
        <w:ind w:left="80" w:firstLine="360"/>
        <w:spacing w:after="0" w:line="247" w:lineRule="auto"/>
        <w:rPr>
          <w:sz w:val="20"/>
          <w:szCs w:val="20"/>
          <w:color w:val="auto"/>
        </w:rPr>
      </w:pPr>
      <w:r>
        <w:rPr>
          <w:rFonts w:ascii="Times New Roman" w:cs="Times New Roman" w:eastAsia="Times New Roman" w:hAnsi="Times New Roman"/>
          <w:sz w:val="20"/>
          <w:szCs w:val="20"/>
          <w:color w:val="auto"/>
        </w:rPr>
        <w:t>We use Filana Therapeutics, the Filana Therapeutics logo, artwork and other marks as trademarks in the United States and other countries. Solely for convenience, trademarks and trade names referred to in this Annual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90" w:lineRule="exact"/>
        <w:rPr>
          <w:sz w:val="20"/>
          <w:szCs w:val="20"/>
          <w:color w:val="auto"/>
        </w:rPr>
      </w:pPr>
    </w:p>
    <w:p>
      <w:pPr>
        <w:jc w:val="both"/>
        <w:ind w:left="80" w:firstLine="360"/>
        <w:spacing w:after="0" w:line="252" w:lineRule="auto"/>
        <w:rPr>
          <w:sz w:val="20"/>
          <w:szCs w:val="20"/>
          <w:color w:val="auto"/>
        </w:rPr>
      </w:pPr>
      <w:r>
        <w:rPr>
          <w:rFonts w:ascii="Times New Roman" w:cs="Times New Roman" w:eastAsia="Times New Roman" w:hAnsi="Times New Roman"/>
          <w:sz w:val="20"/>
          <w:szCs w:val="20"/>
          <w:color w:val="auto"/>
        </w:rPr>
        <w:t xml:space="preserve">We file electronically with the Securities and Exchange Commission (SEC) our annual reports on Form 10- K, quarterly reports on Form 10-Q and current reports on Form 8- K pursuant to Section 13(a) or 15(d) of the Securities Exchange Act of 1934, as amended (the “Exchange Act”) . The SEC maintains an Internet site that contains reports, proxy and information statements, and other information regarding issuers that file electronically with the SEC. The address of the site is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80" w:firstLine="360"/>
        <w:spacing w:after="0" w:line="251" w:lineRule="auto"/>
        <w:rPr>
          <w:sz w:val="20"/>
          <w:szCs w:val="20"/>
          <w:color w:val="auto"/>
        </w:rPr>
      </w:pPr>
      <w:r>
        <w:rPr>
          <w:rFonts w:ascii="Times New Roman" w:cs="Times New Roman" w:eastAsia="Times New Roman" w:hAnsi="Times New Roman"/>
          <w:sz w:val="20"/>
          <w:szCs w:val="20"/>
          <w:color w:val="auto"/>
        </w:rPr>
        <w:t xml:space="preserve">You may obtain a free copy of our annual reports on Form 10-K, quarterly reports on Form 10-Q and current reports on Form 8-K and amendments to those reports on the day of filing with the SEC on our website at </w:t>
      </w:r>
      <w:r>
        <w:rPr>
          <w:rFonts w:ascii="Times New Roman" w:cs="Times New Roman" w:eastAsia="Times New Roman" w:hAnsi="Times New Roman"/>
          <w:sz w:val="20"/>
          <w:szCs w:val="20"/>
          <w:u w:val="single" w:color="auto"/>
          <w:color w:val="auto"/>
        </w:rPr>
        <w:t>http://www.filanatx.com</w:t>
      </w:r>
      <w:r>
        <w:rPr>
          <w:rFonts w:ascii="Times New Roman" w:cs="Times New Roman" w:eastAsia="Times New Roman" w:hAnsi="Times New Roman"/>
          <w:sz w:val="20"/>
          <w:szCs w:val="20"/>
          <w:color w:val="auto"/>
        </w:rPr>
        <w:t xml:space="preserve"> , by contacting our corporate offices by calling 512-501-2450 or by sending an e-mail message to </w:t>
      </w:r>
      <w:r>
        <w:rPr>
          <w:rFonts w:ascii="Times New Roman" w:cs="Times New Roman" w:eastAsia="Times New Roman" w:hAnsi="Times New Roman"/>
          <w:sz w:val="20"/>
          <w:szCs w:val="20"/>
          <w:u w:val="single" w:color="auto"/>
          <w:color w:val="auto"/>
        </w:rPr>
        <w:t>IR@filanatx.com</w:t>
      </w:r>
      <w:r>
        <w:rPr>
          <w:rFonts w:ascii="Times New Roman" w:cs="Times New Roman" w:eastAsia="Times New Roman" w:hAnsi="Times New Roman"/>
          <w:sz w:val="20"/>
          <w:szCs w:val="20"/>
          <w:color w:val="auto"/>
        </w:rPr>
        <w:t>. The contents of our website are not incorporated into this filing.</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4"/>
          <w:szCs w:val="24"/>
          <w:color w:val="auto"/>
        </w:rPr>
        <w:t>22 / 117</w:t>
      </w:r>
    </w:p>
    <w:p>
      <w:pPr>
        <w:sectPr>
          <w:pgSz w:w="12240" w:h="15840" w:orient="portrait"/>
          <w:cols w:equalWidth="0" w:num="1">
            <w:col w:w="10880"/>
          </w:cols>
          <w:pgMar w:left="640" w:top="784" w:right="720" w:bottom="0" w:gutter="0" w:footer="0" w:header="0"/>
        </w:sectPr>
      </w:pPr>
    </w:p>
    <w:bookmarkStart w:id="22" w:name="page23"/>
    <w:bookmarkEnd w:id="22"/>
    <w:p>
      <w:pPr>
        <w:ind w:left="2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7"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i w:val="1"/>
          <w:iCs w:val="1"/>
          <w:color w:val="auto"/>
        </w:rPr>
        <w:t>Investing in our securities involves a high degree of risk. This section includes a discussion of what we believe to be the material factors that make an investment in our Company speculative or risky. The risks described in this section are not the only risks we face. Additional risks and uncertainties not presently known to us or that we currently deem immaterial also may impair our business operations and the market price of our securities.</w:t>
      </w:r>
    </w:p>
    <w:p>
      <w:pPr>
        <w:spacing w:after="0" w:line="188" w:lineRule="exact"/>
        <w:rPr>
          <w:sz w:val="20"/>
          <w:szCs w:val="20"/>
          <w:color w:val="auto"/>
        </w:rPr>
      </w:pPr>
    </w:p>
    <w:p>
      <w:pPr>
        <w:ind w:right="20" w:firstLine="36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You should carefully consider the risks described below, as well as other information contained in this Annual Report on Form 10-K, including our consolidated financial statements and the related notes and the section titled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Management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Discussion and Analysis of Financial Condition and Results of Operations,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before deciding whether to invest in our securities. The occurrence of any of the events or developments described below could harm our business, financial condition, results of operations, and growth prospects. In such an event, the market price of our securities could decline, and you may lose all or part of your investment.</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Our Product Candidates</w:t>
      </w:r>
    </w:p>
    <w:p>
      <w:pPr>
        <w:spacing w:after="0" w:line="242" w:lineRule="exact"/>
        <w:rPr>
          <w:sz w:val="20"/>
          <w:szCs w:val="20"/>
          <w:color w:val="auto"/>
        </w:rPr>
      </w:pPr>
    </w:p>
    <w:p>
      <w:pPr>
        <w:ind w:left="760" w:right="460" w:hanging="370"/>
        <w:spacing w:after="0" w:line="258"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have no approved products. Our product candidates are subject to significant development risks, and we may never achieve regulatory approval or commercial success.</w:t>
      </w:r>
    </w:p>
    <w:p>
      <w:pPr>
        <w:ind w:left="760" w:right="200" w:hanging="370"/>
        <w:spacing w:after="0" w:line="244"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FDA has placed a full clinical hold on our planned clinical studies, which may delay our drug development efforts and cause our business to suffer.</w:t>
      </w:r>
    </w:p>
    <w:p>
      <w:pPr>
        <w:ind w:left="760" w:hanging="370"/>
        <w:spacing w:after="0" w:line="245"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Our product candidates are based on new scientific approaches and novel technology, which makes it difficult to predict the time and cost of product candidate development and likelihood of success.</w:t>
      </w:r>
    </w:p>
    <w:p>
      <w:pPr>
        <w:ind w:left="760" w:right="180" w:hanging="370"/>
        <w:spacing w:after="0" w:line="245"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drug development process, the clinical trial process and the enrollment and retention of patients in clinical trials could be challenging, expensive and time-consuming for the indications that we are targeting.</w:t>
      </w:r>
    </w:p>
    <w:p>
      <w:pPr>
        <w:jc w:val="both"/>
        <w:ind w:left="760" w:hanging="370"/>
        <w:spacing w:after="0" w:line="243"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are heavily dependent on the success of simufilam, our lead product candidate which is under development. If this product candidate is unsuccessful in clinical development, or does not receive regulatory approval, we will be unable to generate product revenue and our business will be harmed.</w:t>
      </w:r>
    </w:p>
    <w:p>
      <w:pPr>
        <w:spacing w:after="0" w:line="2" w:lineRule="exact"/>
        <w:rPr>
          <w:rFonts w:ascii="Times New Roman" w:cs="Times New Roman" w:eastAsia="Times New Roman" w:hAnsi="Times New Roman"/>
          <w:sz w:val="20"/>
          <w:szCs w:val="20"/>
          <w:i w:val="1"/>
          <w:iCs w:val="1"/>
          <w:color w:val="auto"/>
        </w:rPr>
      </w:pPr>
    </w:p>
    <w:p>
      <w:pPr>
        <w:ind w:left="760" w:hanging="370"/>
        <w:spacing w:after="0" w:line="244"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have a limited operating history in our business targeting TSC-</w:t>
      </w:r>
      <w:r>
        <w:rPr>
          <w:rFonts w:ascii="Times New Roman" w:cs="Times New Roman" w:eastAsia="Times New Roman" w:hAnsi="Times New Roman"/>
          <w:sz w:val="20"/>
          <w:szCs w:val="20"/>
          <w:color w:val="auto"/>
        </w:rPr>
        <w:t>related</w:t>
      </w:r>
      <w:r>
        <w:rPr>
          <w:rFonts w:ascii="Times New Roman" w:cs="Times New Roman" w:eastAsia="Times New Roman" w:hAnsi="Times New Roman"/>
          <w:sz w:val="20"/>
          <w:szCs w:val="20"/>
          <w:i w:val="1"/>
          <w:iCs w:val="1"/>
          <w:color w:val="auto"/>
        </w:rPr>
        <w:t xml:space="preserve"> epilepsy and no history of product approvals for commercial sale, which may make it difficult to evaluate our current business and predict our future success and viability.</w:t>
      </w:r>
    </w:p>
    <w:p>
      <w:pPr>
        <w:ind w:left="760" w:hanging="370"/>
        <w:spacing w:after="0"/>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may not be able to obtain orphan drug exclusivity for our product candidates in either the United States or the EU.</w:t>
      </w:r>
    </w:p>
    <w:p>
      <w:pPr>
        <w:spacing w:after="0" w:line="10" w:lineRule="exact"/>
        <w:rPr>
          <w:rFonts w:ascii="Times New Roman" w:cs="Times New Roman" w:eastAsia="Times New Roman" w:hAnsi="Times New Roman"/>
          <w:sz w:val="20"/>
          <w:szCs w:val="20"/>
          <w:i w:val="1"/>
          <w:iCs w:val="1"/>
          <w:color w:val="auto"/>
        </w:rPr>
      </w:pPr>
    </w:p>
    <w:p>
      <w:pPr>
        <w:ind w:left="760" w:right="500" w:hanging="370"/>
        <w:spacing w:after="0" w:line="181" w:lineRule="auto"/>
        <w:tabs>
          <w:tab w:leader="none" w:pos="760" w:val="left"/>
        </w:tabs>
        <w:numPr>
          <w:ilvl w:val="0"/>
          <w:numId w:val="9"/>
        </w:numPr>
        <w:rPr>
          <w:rFonts w:ascii="Times New Roman" w:cs="Times New Roman" w:eastAsia="Times New Roman" w:hAnsi="Times New Roman"/>
          <w:sz w:val="36"/>
          <w:szCs w:val="36"/>
          <w:i w:val="1"/>
          <w:iCs w:val="1"/>
          <w:color w:val="auto"/>
          <w:vertAlign w:val="subscript"/>
        </w:rPr>
      </w:pPr>
      <w:r>
        <w:rPr>
          <w:rFonts w:ascii="Times New Roman" w:cs="Times New Roman" w:eastAsia="Times New Roman" w:hAnsi="Times New Roman"/>
          <w:sz w:val="18"/>
          <w:szCs w:val="18"/>
          <w:i w:val="1"/>
          <w:iCs w:val="1"/>
          <w:color w:val="auto"/>
        </w:rPr>
        <w:t>Our inability to develop formulations of simufilam appropriate for pediatric patients under the age of 12 could delay or prevent clinical trials of simufilam in that population.</w:t>
      </w:r>
    </w:p>
    <w:p>
      <w:pPr>
        <w:spacing w:after="0" w:line="2" w:lineRule="exact"/>
        <w:rPr>
          <w:rFonts w:ascii="Times New Roman" w:cs="Times New Roman" w:eastAsia="Times New Roman" w:hAnsi="Times New Roman"/>
          <w:sz w:val="36"/>
          <w:szCs w:val="36"/>
          <w:i w:val="1"/>
          <w:iCs w:val="1"/>
          <w:color w:val="auto"/>
          <w:vertAlign w:val="subscript"/>
        </w:rPr>
      </w:pPr>
    </w:p>
    <w:p>
      <w:pPr>
        <w:ind w:left="760" w:hanging="370"/>
        <w:spacing w:after="0" w:line="258" w:lineRule="auto"/>
        <w:tabs>
          <w:tab w:leader="none" w:pos="760" w:val="left"/>
        </w:tabs>
        <w:numPr>
          <w:ilvl w:val="0"/>
          <w:numId w:val="9"/>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We cannot give any assurance that we will file for regulatory approval for any of our product candidates, or that if we file for approval, our product candidates will receive regulatory approval, which is necessary before they can be commercialized.</w:t>
      </w:r>
    </w:p>
    <w:p>
      <w:pPr>
        <w:ind w:left="760" w:hanging="370"/>
        <w:spacing w:after="0" w:line="245"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Results observed in preclinical studies and early stage clinical trials for simufilam are not sufficient evidence of drug safety or efficacy for purposes of regulatory approval.</w:t>
      </w:r>
    </w:p>
    <w:p>
      <w:pPr>
        <w:ind w:left="760" w:hanging="370"/>
        <w:spacing w:after="0" w:line="245"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may encounter substantial delays in clinical studies that we conduct or may not be able to conduct or complete clinical studies on the timelines we expect, if at all.</w:t>
      </w:r>
    </w:p>
    <w:p>
      <w:pPr>
        <w:ind w:left="760" w:hanging="370"/>
        <w:spacing w:after="0"/>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Governmental actions with respect to U.S. drug prices could negatively impact our business.</w:t>
      </w:r>
    </w:p>
    <w:p>
      <w:pPr>
        <w:spacing w:after="0" w:line="10" w:lineRule="exact"/>
        <w:rPr>
          <w:rFonts w:ascii="Times New Roman" w:cs="Times New Roman" w:eastAsia="Times New Roman" w:hAnsi="Times New Roman"/>
          <w:sz w:val="20"/>
          <w:szCs w:val="20"/>
          <w:i w:val="1"/>
          <w:iCs w:val="1"/>
          <w:color w:val="auto"/>
        </w:rPr>
      </w:pPr>
    </w:p>
    <w:p>
      <w:pPr>
        <w:ind w:left="760" w:right="20" w:hanging="370"/>
        <w:spacing w:after="0" w:line="245"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If physicians and patients do not accept and use our drugs, we will not achieve sufficient product revenues and our business will suffer.</w:t>
      </w:r>
    </w:p>
    <w:p>
      <w:pPr>
        <w:jc w:val="both"/>
        <w:ind w:left="760" w:hanging="370"/>
        <w:spacing w:after="0" w:line="242"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currently do not have the in-house capabilities to manufacture or commercialize our product candidates, and we rely on a third-party commercial drug manufacturing organization for supplies of simufilam. If we are unable to develop our own manufacturing, sales, marketing and distribution capabilities, or if we are not successful in contracting with third parties for these services on favorable terms, or at all, our product revenues could be adversely impacted.</w:t>
      </w:r>
    </w:p>
    <w:p>
      <w:pPr>
        <w:spacing w:after="0" w:line="1" w:lineRule="exact"/>
        <w:rPr>
          <w:rFonts w:ascii="Times New Roman" w:cs="Times New Roman" w:eastAsia="Times New Roman" w:hAnsi="Times New Roman"/>
          <w:sz w:val="20"/>
          <w:szCs w:val="20"/>
          <w:i w:val="1"/>
          <w:iCs w:val="1"/>
          <w:color w:val="auto"/>
        </w:rPr>
      </w:pPr>
    </w:p>
    <w:p>
      <w:pPr>
        <w:ind w:left="760" w:hanging="370"/>
        <w:spacing w:after="0" w:line="251" w:lineRule="auto"/>
        <w:tabs>
          <w:tab w:leader="none" w:pos="760" w:val="left"/>
        </w:tabs>
        <w:numPr>
          <w:ilvl w:val="0"/>
          <w:numId w:val="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Clinical studies that we conduct may fail to demonstrate substantial evidence of the safety and efficacy of our product candidates, which would prevent, delay, or limit the scope of regulatory approval and commercialization.</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 and Other Legal Compliance Matters</w:t>
      </w:r>
    </w:p>
    <w:p>
      <w:pPr>
        <w:spacing w:after="0" w:line="239" w:lineRule="exact"/>
        <w:rPr>
          <w:sz w:val="20"/>
          <w:szCs w:val="20"/>
          <w:color w:val="auto"/>
        </w:rPr>
      </w:pPr>
    </w:p>
    <w:p>
      <w:pPr>
        <w:ind w:left="760" w:right="20" w:hanging="370"/>
        <w:spacing w:after="0" w:line="257" w:lineRule="auto"/>
        <w:tabs>
          <w:tab w:leader="none" w:pos="760" w:val="left"/>
        </w:tabs>
        <w:numPr>
          <w:ilvl w:val="0"/>
          <w:numId w:val="1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Our financial condition and operating results could be adversely impacted by unfavorable results of legal proceedings, government investigations or allegations and other claims.</w:t>
      </w:r>
    </w:p>
    <w:p>
      <w:pPr>
        <w:spacing w:after="0" w:line="1" w:lineRule="exact"/>
        <w:rPr>
          <w:rFonts w:ascii="Times New Roman" w:cs="Times New Roman" w:eastAsia="Times New Roman" w:hAnsi="Times New Roman"/>
          <w:sz w:val="20"/>
          <w:szCs w:val="20"/>
          <w:i w:val="1"/>
          <w:iCs w:val="1"/>
          <w:color w:val="auto"/>
        </w:rPr>
      </w:pPr>
    </w:p>
    <w:p>
      <w:pPr>
        <w:ind w:left="760" w:hanging="370"/>
        <w:spacing w:after="0" w:line="250" w:lineRule="auto"/>
        <w:tabs>
          <w:tab w:leader="none" w:pos="760" w:val="left"/>
        </w:tabs>
        <w:numPr>
          <w:ilvl w:val="0"/>
          <w:numId w:val="1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If we are ultimately unable to file for and obtain regulatory approval for our product candidates, we will be unable to generate product revenue and our business will be substantially harmed.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23 / 117</w:t>
      </w:r>
    </w:p>
    <w:p>
      <w:pPr>
        <w:sectPr>
          <w:pgSz w:w="12240" w:h="15840" w:orient="portrait"/>
          <w:cols w:equalWidth="0" w:num="1">
            <w:col w:w="10820"/>
          </w:cols>
          <w:pgMar w:left="700" w:top="1060" w:right="720" w:bottom="0" w:gutter="0" w:footer="0" w:header="0"/>
        </w:sectPr>
      </w:pPr>
    </w:p>
    <w:bookmarkStart w:id="23" w:name="page24"/>
    <w:bookmarkEnd w:id="23"/>
    <w:p>
      <w:pPr>
        <w:ind w:left="740" w:hanging="370"/>
        <w:spacing w:after="0"/>
        <w:tabs>
          <w:tab w:leader="none" w:pos="740" w:val="left"/>
        </w:tabs>
        <w:numPr>
          <w:ilvl w:val="0"/>
          <w:numId w:val="1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Our ability to market and promote our product candidates will be determined and limited by FDA-approved labeling.</w:t>
      </w:r>
    </w:p>
    <w:p>
      <w:pPr>
        <w:spacing w:after="0" w:line="55" w:lineRule="exact"/>
        <w:rPr>
          <w:rFonts w:ascii="Times New Roman" w:cs="Times New Roman" w:eastAsia="Times New Roman" w:hAnsi="Times New Roman"/>
          <w:sz w:val="20"/>
          <w:szCs w:val="20"/>
          <w:i w:val="1"/>
          <w:iCs w:val="1"/>
          <w:color w:val="auto"/>
        </w:rPr>
      </w:pPr>
    </w:p>
    <w:p>
      <w:pPr>
        <w:jc w:val="both"/>
        <w:ind w:left="740" w:hanging="370"/>
        <w:spacing w:after="0" w:line="252" w:lineRule="auto"/>
        <w:tabs>
          <w:tab w:leader="none" w:pos="740" w:val="left"/>
        </w:tabs>
        <w:numPr>
          <w:ilvl w:val="0"/>
          <w:numId w:val="1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If we fail to comply or stay in compliance with the complex set of federal, state, local and foreign laws and regulations that apply to our business, we could suffer severe consequences that could materially and adversely affect our operating results and financial condition.</w:t>
      </w:r>
    </w:p>
    <w:p>
      <w:pPr>
        <w:ind w:left="740" w:hanging="370"/>
        <w:spacing w:after="0"/>
        <w:tabs>
          <w:tab w:leader="none" w:pos="740" w:val="left"/>
        </w:tabs>
        <w:numPr>
          <w:ilvl w:val="0"/>
          <w:numId w:val="1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Government agencies may establish and promulgate usage guidelines that could limit the use of our product candidates.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2" w:lineRule="exact"/>
        <w:rPr>
          <w:sz w:val="20"/>
          <w:szCs w:val="20"/>
          <w:color w:val="auto"/>
        </w:rPr>
      </w:pPr>
    </w:p>
    <w:p>
      <w:pPr>
        <w:jc w:val="both"/>
        <w:ind w:left="740" w:hanging="370"/>
        <w:spacing w:after="0" w:line="251" w:lineRule="auto"/>
        <w:tabs>
          <w:tab w:leader="none" w:pos="740" w:val="left"/>
        </w:tabs>
        <w:numPr>
          <w:ilvl w:val="0"/>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If we are unable to obtain and maintain sufficient patent protection for any product candidates we develop, our competitors could develop and commercialize products similar or identical to ours, and our ability to successfully commercialize any product candidates we may develop may be adversely affected.</w:t>
      </w:r>
    </w:p>
    <w:p>
      <w:pPr>
        <w:spacing w:after="0" w:line="2" w:lineRule="exact"/>
        <w:rPr>
          <w:rFonts w:ascii="Times New Roman" w:cs="Times New Roman" w:eastAsia="Times New Roman" w:hAnsi="Times New Roman"/>
          <w:sz w:val="20"/>
          <w:szCs w:val="20"/>
          <w:i w:val="1"/>
          <w:iCs w:val="1"/>
          <w:color w:val="auto"/>
        </w:rPr>
      </w:pPr>
    </w:p>
    <w:p>
      <w:pPr>
        <w:ind w:left="740" w:hanging="370"/>
        <w:spacing w:after="0" w:line="244" w:lineRule="auto"/>
        <w:tabs>
          <w:tab w:leader="none" w:pos="740" w:val="left"/>
        </w:tabs>
        <w:numPr>
          <w:ilvl w:val="0"/>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Issued patents covering our product candidates and other technologies could be found invalid or unenforceable if challenged in court or before administrative bodies in the U.S. or abroad.</w:t>
      </w:r>
    </w:p>
    <w:p>
      <w:pPr>
        <w:ind w:left="740" w:right="20" w:hanging="370"/>
        <w:spacing w:after="0" w:line="245" w:lineRule="auto"/>
        <w:tabs>
          <w:tab w:leader="none" w:pos="740" w:val="left"/>
        </w:tabs>
        <w:numPr>
          <w:ilvl w:val="0"/>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If we do not obtain patent term extension and data exclusivity for any product candidates we may develop, our business may be materially harmed.</w:t>
      </w:r>
    </w:p>
    <w:p>
      <w:pPr>
        <w:ind w:left="740" w:hanging="370"/>
        <w:spacing w:after="0" w:line="250" w:lineRule="auto"/>
        <w:tabs>
          <w:tab w:leader="none" w:pos="740" w:val="left"/>
        </w:tabs>
        <w:numPr>
          <w:ilvl w:val="0"/>
          <w:numId w:val="1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If we are unable to protect the confidentiality of our trade secrets, our business and competitive position would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Operations</w:t>
      </w:r>
    </w:p>
    <w:p>
      <w:pPr>
        <w:spacing w:after="0" w:line="242" w:lineRule="exact"/>
        <w:rPr>
          <w:sz w:val="20"/>
          <w:szCs w:val="20"/>
          <w:color w:val="auto"/>
        </w:rPr>
      </w:pPr>
    </w:p>
    <w:p>
      <w:pPr>
        <w:ind w:left="740" w:hanging="370"/>
        <w:spacing w:after="0"/>
        <w:tabs>
          <w:tab w:leader="none" w:pos="740" w:val="left"/>
        </w:tabs>
        <w:numPr>
          <w:ilvl w:val="0"/>
          <w:numId w:val="1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are subject to lawsuits and governmental investigations and inquiries.</w:t>
      </w:r>
    </w:p>
    <w:p>
      <w:pPr>
        <w:spacing w:after="0" w:line="33" w:lineRule="exact"/>
        <w:rPr>
          <w:rFonts w:ascii="Times New Roman" w:cs="Times New Roman" w:eastAsia="Times New Roman" w:hAnsi="Times New Roman"/>
          <w:sz w:val="20"/>
          <w:szCs w:val="20"/>
          <w:i w:val="1"/>
          <w:iCs w:val="1"/>
          <w:color w:val="auto"/>
        </w:rPr>
      </w:pPr>
    </w:p>
    <w:p>
      <w:pPr>
        <w:ind w:left="740" w:hanging="370"/>
        <w:spacing w:after="0" w:line="244" w:lineRule="auto"/>
        <w:tabs>
          <w:tab w:leader="none" w:pos="740" w:val="left"/>
        </w:tabs>
        <w:numPr>
          <w:ilvl w:val="0"/>
          <w:numId w:val="1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Our ability to operate without any significant disruptions will, in part, depend on our ability to source materials and clinical supplies via our product supply chains.</w:t>
      </w:r>
    </w:p>
    <w:p>
      <w:pPr>
        <w:jc w:val="both"/>
        <w:ind w:left="740" w:hanging="370"/>
        <w:spacing w:after="0" w:line="243" w:lineRule="auto"/>
        <w:tabs>
          <w:tab w:leader="none" w:pos="740" w:val="left"/>
        </w:tabs>
        <w:numPr>
          <w:ilvl w:val="0"/>
          <w:numId w:val="1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Our reliance on third parties for both the supply and manufacture of materials for our product candidates carries the risk that we will not have sufficient quality or quantities of such materials or product candidates, or that such supply will not be available to us at an acceptable cost, which could delay, prevent, or impair our development or commercialization efforts.</w:t>
      </w:r>
    </w:p>
    <w:p>
      <w:pPr>
        <w:spacing w:after="0" w:line="2" w:lineRule="exact"/>
        <w:rPr>
          <w:rFonts w:ascii="Times New Roman" w:cs="Times New Roman" w:eastAsia="Times New Roman" w:hAnsi="Times New Roman"/>
          <w:sz w:val="20"/>
          <w:szCs w:val="20"/>
          <w:i w:val="1"/>
          <w:iCs w:val="1"/>
          <w:color w:val="auto"/>
        </w:rPr>
      </w:pPr>
    </w:p>
    <w:p>
      <w:pPr>
        <w:jc w:val="both"/>
        <w:ind w:left="740" w:hanging="370"/>
        <w:spacing w:after="0" w:line="242" w:lineRule="auto"/>
        <w:tabs>
          <w:tab w:leader="none" w:pos="740" w:val="left"/>
        </w:tabs>
        <w:numPr>
          <w:ilvl w:val="0"/>
          <w:numId w:val="1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Our internal computer systems, or those used by third parties on whom we rely, may fail or suffer other breakdowns, cyberattacks, or information security breaches that could compromise the confidentiality, integrity, and availability of such systems and data, result in material disruptions of our development programs and business operations, risk disclosure of confidential, financial, or proprietary information, and affect our reputation.</w:t>
      </w:r>
    </w:p>
    <w:p>
      <w:pPr>
        <w:spacing w:after="0" w:line="1" w:lineRule="exact"/>
        <w:rPr>
          <w:rFonts w:ascii="Times New Roman" w:cs="Times New Roman" w:eastAsia="Times New Roman" w:hAnsi="Times New Roman"/>
          <w:sz w:val="20"/>
          <w:szCs w:val="20"/>
          <w:i w:val="1"/>
          <w:iCs w:val="1"/>
          <w:color w:val="auto"/>
        </w:rPr>
      </w:pPr>
    </w:p>
    <w:p>
      <w:pPr>
        <w:ind w:left="740" w:hanging="370"/>
        <w:spacing w:after="0" w:line="245" w:lineRule="auto"/>
        <w:tabs>
          <w:tab w:leader="none" w:pos="740" w:val="left"/>
        </w:tabs>
        <w:numPr>
          <w:ilvl w:val="0"/>
          <w:numId w:val="1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Business disruptions and lack of appropriate levels of commercial insurance could seriously harm our future revenue and financial condition and increase our costs and expenses.</w:t>
      </w:r>
    </w:p>
    <w:p>
      <w:pPr>
        <w:ind w:left="740" w:hanging="370"/>
        <w:spacing w:after="0" w:line="251" w:lineRule="auto"/>
        <w:tabs>
          <w:tab w:leader="none" w:pos="740" w:val="left"/>
        </w:tabs>
        <w:numPr>
          <w:ilvl w:val="0"/>
          <w:numId w:val="1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Social media platforms have significantly altered the dynamics of corporate communications and present risks and challenges, some of which are and may continue to be unknown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Financial Condition and Capital Requirements</w:t>
      </w:r>
    </w:p>
    <w:p>
      <w:pPr>
        <w:spacing w:after="0" w:line="242" w:lineRule="exact"/>
        <w:rPr>
          <w:sz w:val="20"/>
          <w:szCs w:val="20"/>
          <w:color w:val="auto"/>
        </w:rPr>
      </w:pPr>
    </w:p>
    <w:p>
      <w:pPr>
        <w:ind w:left="740" w:right="20" w:hanging="370"/>
        <w:spacing w:after="0" w:line="256" w:lineRule="auto"/>
        <w:tabs>
          <w:tab w:leader="none" w:pos="740"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have incurred significant net losses in each period since our inception and anticipate that we will continue to incur net losses for the foreseeable future.</w:t>
      </w:r>
    </w:p>
    <w:p>
      <w:pPr>
        <w:ind w:left="740" w:hanging="370"/>
        <w:spacing w:after="0" w:line="245" w:lineRule="auto"/>
        <w:tabs>
          <w:tab w:leader="none" w:pos="740"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have broad discretion in the use of our capital resources, including the net proceeds from any of our financing transactions and may not use them effectively.</w:t>
      </w:r>
    </w:p>
    <w:p>
      <w:pPr>
        <w:ind w:left="740" w:hanging="370"/>
        <w:spacing w:after="0"/>
        <w:tabs>
          <w:tab w:leader="none" w:pos="740" w:val="left"/>
        </w:tabs>
        <w:numPr>
          <w:ilvl w:val="0"/>
          <w:numId w:val="1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We have no product revenues and may never achieve revenues or profitability based on product 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Ownership of Our Common Stock</w:t>
      </w:r>
    </w:p>
    <w:p>
      <w:pPr>
        <w:spacing w:after="0" w:line="242" w:lineRule="exact"/>
        <w:rPr>
          <w:sz w:val="20"/>
          <w:szCs w:val="20"/>
          <w:color w:val="auto"/>
        </w:rPr>
      </w:pPr>
    </w:p>
    <w:p>
      <w:pPr>
        <w:ind w:left="740" w:right="120" w:hanging="370"/>
        <w:spacing w:after="0" w:line="257" w:lineRule="auto"/>
        <w:tabs>
          <w:tab w:leader="none" w:pos="740" w:val="left"/>
        </w:tabs>
        <w:numPr>
          <w:ilvl w:val="0"/>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market price of our common stock has historically been highly volatile and we expect it to continue to be volatile, which could result in substantial losses for investors who purchase our shares.</w:t>
      </w:r>
    </w:p>
    <w:p>
      <w:pPr>
        <w:spacing w:after="0" w:line="1" w:lineRule="exact"/>
        <w:rPr>
          <w:rFonts w:ascii="Times New Roman" w:cs="Times New Roman" w:eastAsia="Times New Roman" w:hAnsi="Times New Roman"/>
          <w:sz w:val="20"/>
          <w:szCs w:val="20"/>
          <w:i w:val="1"/>
          <w:iCs w:val="1"/>
          <w:color w:val="auto"/>
        </w:rPr>
      </w:pPr>
    </w:p>
    <w:p>
      <w:pPr>
        <w:ind w:left="740" w:hanging="370"/>
        <w:spacing w:after="0"/>
        <w:tabs>
          <w:tab w:leader="none" w:pos="740" w:val="left"/>
        </w:tabs>
        <w:numPr>
          <w:ilvl w:val="0"/>
          <w:numId w:val="1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Changes in our ownership could limit our ability to utilize net operating loss carryforwards.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24 / 117</w:t>
      </w:r>
    </w:p>
    <w:p>
      <w:pPr>
        <w:sectPr>
          <w:pgSz w:w="12240" w:h="15840" w:orient="portrait"/>
          <w:cols w:equalWidth="0" w:num="1">
            <w:col w:w="10800"/>
          </w:cols>
          <w:pgMar w:left="720" w:top="794" w:right="720" w:bottom="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Our Product Candidates</w:t>
      </w:r>
    </w:p>
    <w:p>
      <w:pPr>
        <w:spacing w:after="0" w:line="232" w:lineRule="exact"/>
        <w:rPr>
          <w:sz w:val="20"/>
          <w:szCs w:val="20"/>
          <w:color w:val="auto"/>
        </w:rPr>
      </w:pPr>
    </w:p>
    <w:p>
      <w:pPr>
        <w:jc w:val="both"/>
        <w:ind w:left="20"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no approved products. Our product candidates are subject to significant development risk, and we may never achieve regulatory approval or commercial success</w:t>
      </w:r>
    </w:p>
    <w:p>
      <w:pPr>
        <w:spacing w:after="0" w:line="161"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We are developing a therapeutic product candidate, but to date have no approved products and until 2025 have concentrated substantially all of our resources on research and development efforts on experimental methods for the treatment of Alzheimer’s disease. As we advance development of our TSC-related epilepsy product candidate and explore expansion into other therapeutic indications, we expect that we will continue to expend substantial resources on research and development. All of the product candidates that we seek to develop are subject to significant development risk, as the development of new pharmaceutical treatments is inherently risky.</w:t>
      </w:r>
    </w:p>
    <w:p>
      <w:pPr>
        <w:spacing w:after="0" w:line="190"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Developing and, if approved, commercializing a novel treatment for a central nervous system disorder, such as TSC-related epilepsy, subjects us to many challenges, including obtaining regulatory approval from FDA and other regulatory authorities.</w:t>
      </w:r>
    </w:p>
    <w:p>
      <w:pPr>
        <w:spacing w:after="0" w:line="164" w:lineRule="exact"/>
        <w:rPr>
          <w:sz w:val="20"/>
          <w:szCs w:val="20"/>
          <w:color w:val="auto"/>
        </w:rPr>
      </w:pPr>
    </w:p>
    <w:p>
      <w:pPr>
        <w:jc w:val="both"/>
        <w:ind w:firstLine="180"/>
        <w:spacing w:after="0" w:line="277" w:lineRule="auto"/>
        <w:rPr>
          <w:sz w:val="20"/>
          <w:szCs w:val="20"/>
          <w:color w:val="auto"/>
        </w:rPr>
      </w:pPr>
      <w:r>
        <w:rPr>
          <w:rFonts w:ascii="Times New Roman" w:cs="Times New Roman" w:eastAsia="Times New Roman" w:hAnsi="Times New Roman"/>
          <w:sz w:val="20"/>
          <w:szCs w:val="20"/>
          <w:color w:val="auto"/>
        </w:rPr>
        <w:t>Because of the challenges associated with drug development, we may never achieve regulatory approval or commercial success for any of the product candidates that we develop.</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The FDA has placed a full clinical hold on our planned clinical studies, which may cause our business to suffer.</w:t>
      </w:r>
    </w:p>
    <w:p>
      <w:pPr>
        <w:spacing w:after="0" w:line="229"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A clinical hold is an order issued by FDA or another regulatory agency to suspend an ongoing or planned clinical trial, typically due to newly identified deficiencies with, or the need for additional information regarding, the subject study or drug candidate.</w:t>
      </w:r>
    </w:p>
    <w:p>
      <w:pPr>
        <w:spacing w:after="0" w:line="160"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On December 15, 2025, the Company received a formal letter from FDA confirming that our proposed clinical trial is on full clinical hold subject to the Company providing FDA with additional information, including additional pre-clinical data, and modifying the protocol design. The updated timing for initiation of a clinical trial will depend on the Company’s ability to provide the requested information and on satisfactory completion of FDA’s review.</w:t>
      </w:r>
    </w:p>
    <w:p>
      <w:pPr>
        <w:spacing w:after="0" w:line="188"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 grounds for imposition of a clinical hold are complex, variable and fact specific. For the current clinical hold, FDA expects us to address the cited deficiencies or provide the requested additional information, in each case, through the submission of a detailed, written response. The clinical hold requires us to spend significant resources to address the root causes of FDA’s concerns. If we were unable to find and successfully address such root causes or if our response were deemed inadequate to lift the clinical hold, this would adversely affect our business. If we are subjected to a clinical hold that remained in effect for one year or longer, the FDA may consider the IND for the affected product candidate to fall into Inactive Status, which may result in termination of the corresponding clinical program.</w:t>
      </w:r>
    </w:p>
    <w:p>
      <w:pPr>
        <w:spacing w:after="0" w:line="189"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We are working expeditiously to respond to the FDA’s requests and to lift the hold. To the extent, however, that we are not successful in lifting the current clinical hold imposed by FDA, our results of operations and business will be materially adversely affected.</w:t>
      </w:r>
    </w:p>
    <w:p>
      <w:pPr>
        <w:spacing w:after="0" w:line="1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are based on new scientific approaches and novel technology, which makes it difficult to predict the time and cost of product candidate development and likelihood of success.</w:t>
      </w:r>
    </w:p>
    <w:p>
      <w:pPr>
        <w:spacing w:after="0" w:line="158"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Our lead drug candidate, simufilam, targets a scaffolding protein called filamin A. In light of existing research, we believe that filamin A is a promising target for drug development with respect to TSC -related epilepsy. However, we cannot be certain that our novel technologies will yield clinical results that support the approval of a safe and effective therapeutic product or, if approvable, that such a product will be marketable. In addition, because FDA has limited comparators to evaluate our lead drug candidate, we could experience a longer than expected regulatory review process and increased development costs.</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drug development process, the clinical trial process and the enrollment and retention of patients in clinical trials could be challenging, expensive and time-consuming for the indications that we are targeting.</w:t>
      </w:r>
    </w:p>
    <w:p>
      <w:pPr>
        <w:spacing w:after="0" w:line="15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Identifying and qualifying patients to participate in clinical studies is critical to the success of the relevant product candidate. The timing of clinical studies depends, in part, on the speed of recruitment of patients to participate in testing such product candidates as well as completion of required follow-up periods. For any study that we initiate, we may not be able to identify, recruit and enroll a sufficient number of patients or patients with required or desired characteristics to achieve the objectives of the study. If patients are unable or unwilling to participate in such studies, the timeline for recruiting patients, conducting studies and obtaining regulatory approval of potential products may be delayed. These delays could result in increased costs, delays in advancing our product candidates, delays in testing the effectiveness of our technology, failure to meet study endpoints or objectives or termination of the clinical studies altogether.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25 / 117</w:t>
      </w:r>
    </w:p>
    <w:p>
      <w:pPr>
        <w:sectPr>
          <w:pgSz w:w="12240" w:h="15840" w:orient="portrait"/>
          <w:cols w:equalWidth="0" w:num="1">
            <w:col w:w="10820"/>
          </w:cols>
          <w:pgMar w:left="700" w:top="784" w:right="720" w:bottom="0" w:gutter="0" w:footer="0" w:header="0"/>
        </w:sectPr>
      </w:pPr>
    </w:p>
    <w:bookmarkStart w:id="25" w:name="page26"/>
    <w:bookmarkEnd w:id="25"/>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Patient enrollment and retention in clinical trials depends on many factors, including the size of the patient population, the nature of the trial protocol, the existing body of safety and efficacy data, the number and nature of competing treatments and ongoing clinical trials of competing therapies for the same indication, the proximity of patients to clinical sites and the eligibility criteria for the trial. Such enrollment issues could cause delays or prevent development and approval of our drug candidate.</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Furthermore, our efforts to build relationships with patient communities may not succeed, which could result in delays in patient enrollment in our clinical trials. In addition, negative results in previous clinical trials of our drug candidate may make it difficult or impossible to recruit and retain patients in other clinical trials of that same drug candidate. For example, our enrollment efforts for future clinical trials, regardless of indication, may face headwinds as a result of the failure of our RETHINK-ALZ and REFOCUS-ALZ clinical trial to achieve their primary endpoints.</w:t>
      </w:r>
    </w:p>
    <w:p>
      <w:pPr>
        <w:spacing w:after="0" w:line="187"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face particular challenges pursuing an indication for simufilam for TSC- related epilepsy. Because TSC is a rare neurological disorder, there are limited patient pools from which to draw in order to complete clinical trials in a timely and cost -effective manner. Identifying and qualifying patients to participate in our clinical trials would be critical to our success in pursuing an indication in TSC for simufilam. The number of patients suffering from TSC is approximately 45,000 people in the United States and has not been established with precision. If the actual number of patients with TSC is smaller than we anticipate, we may encounter difficulties in enrolling patients in our clinical trials, thereby delaying or preventing development and approval of a drug candidate. Even once enrolled we may be unable to retain a sufficient number of patients to complete trials for TSC-related epilepsy.</w:t>
      </w:r>
    </w:p>
    <w:p>
      <w:pPr>
        <w:spacing w:after="0" w:line="189"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Delays or failures in planned patient enrollment or retention may result in increased costs, program delays or both, which could have a harmful effect on our ability to develop our drug candidates or could render further development impossible.</w:t>
      </w:r>
    </w:p>
    <w:p>
      <w:pPr>
        <w:spacing w:after="0" w:line="160" w:lineRule="exact"/>
        <w:rPr>
          <w:sz w:val="20"/>
          <w:szCs w:val="20"/>
          <w:color w:val="auto"/>
        </w:rPr>
      </w:pPr>
    </w:p>
    <w:p>
      <w:pPr>
        <w:jc w:val="both"/>
        <w:ind w:left="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are heavily dependent on the success of simufilam, our lead product candidate, which is under development. If this product candidate is unsuccessful in clinical development or does not receive regulatory approval, we will be unable to generate product revenue and our business will be harmed.</w:t>
      </w:r>
    </w:p>
    <w:p>
      <w:pPr>
        <w:spacing w:after="0" w:line="180"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Our business is substantially dependent on our ability to successfully complete clinical development and obtain regulatory approval for simufilam, which may never occur. Until 2025, we have invested a significant portion of our efforts and financial resources in the development of simufilam for the treatment and detection of Alzheimer’s disease. We are currently subject to a full clinical hold. If we are successful in our efforts to have the clinical hold lifted, we intend to conduct a proof-of-concept clinical study to better understand simufilam’s potential as a treatment for TSC-related epilepsy.</w:t>
      </w:r>
    </w:p>
    <w:p>
      <w:pPr>
        <w:spacing w:after="0" w:line="187" w:lineRule="exact"/>
        <w:rPr>
          <w:sz w:val="20"/>
          <w:szCs w:val="20"/>
          <w:color w:val="auto"/>
        </w:rPr>
      </w:pPr>
    </w:p>
    <w:p>
      <w:pPr>
        <w:jc w:val="both"/>
        <w:ind w:left="20" w:firstLine="360"/>
        <w:spacing w:after="0" w:line="259" w:lineRule="auto"/>
        <w:rPr>
          <w:sz w:val="20"/>
          <w:szCs w:val="20"/>
          <w:color w:val="auto"/>
        </w:rPr>
      </w:pPr>
      <w:r>
        <w:rPr>
          <w:rFonts w:ascii="Times New Roman" w:cs="Times New Roman" w:eastAsia="Times New Roman" w:hAnsi="Times New Roman"/>
          <w:sz w:val="20"/>
          <w:szCs w:val="20"/>
          <w:color w:val="auto"/>
        </w:rPr>
        <w:t>The results of clinical studies are subject to a variety of factors, and there can be no assurance for any indication that simufilam will achieve clinical success, advance to regulatory approval, be approved by applicable regulatory agencies, or be successfully commercialized.</w:t>
      </w:r>
    </w:p>
    <w:p>
      <w:pPr>
        <w:spacing w:after="0" w:line="175"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An unfavorable outcome in one or more of the clinical trials that we conduct would be a major setback for our product candidates and for us and may require us to delay, reduce or re -define the scope of, or eliminate one or more product candidate development programs, any of which could have a material adverse effect on our business, financial condition and prospects.</w:t>
      </w:r>
    </w:p>
    <w:p>
      <w:pPr>
        <w:spacing w:after="0" w:line="180" w:lineRule="exact"/>
        <w:rPr>
          <w:sz w:val="20"/>
          <w:szCs w:val="20"/>
          <w:color w:val="auto"/>
        </w:rPr>
      </w:pPr>
    </w:p>
    <w:p>
      <w:pPr>
        <w:jc w:val="both"/>
        <w:ind w:left="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in our business targeting TSC-related epilepsy and no history of product approvals for commercial sale, which may make it difficult to evaluate our current business and predict our future success and viability.</w:t>
      </w:r>
    </w:p>
    <w:p>
      <w:pPr>
        <w:spacing w:after="0" w:line="164"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We are a clinical- stage biopharmaceutical company with a limited operating history. Our business targeted Alzheimer’s disease through mid-2025 and currently targets TSC-related epilepsy. Since we commenced operations in 1998, we have had no product candidates approved for commercial sale and have not generated any revenue from product sales. Drug development is a highly uncertain undertaking and involves a substantial degree of risk. To date, we have not obtained marketing approval for any product candidates or conducted sales and marketing activities necessary for successful product commercialization. Our long operating history as a company without product revenue makes any assessment of our future success and viability subject to significant uncertainty.</w:t>
      </w:r>
    </w:p>
    <w:p>
      <w:pPr>
        <w:spacing w:after="0" w:line="191" w:lineRule="exact"/>
        <w:rPr>
          <w:sz w:val="20"/>
          <w:szCs w:val="20"/>
          <w:color w:val="auto"/>
        </w:rPr>
      </w:pPr>
    </w:p>
    <w:p>
      <w:pPr>
        <w:jc w:val="both"/>
        <w:ind w:left="40" w:firstLine="360"/>
        <w:spacing w:after="0" w:line="258" w:lineRule="auto"/>
        <w:rPr>
          <w:sz w:val="20"/>
          <w:szCs w:val="20"/>
          <w:color w:val="auto"/>
        </w:rPr>
      </w:pPr>
      <w:r>
        <w:rPr>
          <w:rFonts w:ascii="Times New Roman" w:cs="Times New Roman" w:eastAsia="Times New Roman" w:hAnsi="Times New Roman"/>
          <w:sz w:val="20"/>
          <w:szCs w:val="20"/>
          <w:color w:val="auto"/>
        </w:rPr>
        <w:t>We will continue to encounter risks and difficulties frequently experienced by clinical-stage biopharmaceutical companies in rapidly evolving fields. We have not yet demonstrated an ability to successfully overcome such risks and difficulties. If we do not successfully address these risks and difficulties, our business, results of operations and financial condition will suffer materially.</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orphan drug exclusivity for our product candidates in the United States or the European Union.</w:t>
      </w:r>
    </w:p>
    <w:p>
      <w:pPr>
        <w:spacing w:after="0" w:line="231" w:lineRule="exact"/>
        <w:rPr>
          <w:sz w:val="20"/>
          <w:szCs w:val="20"/>
          <w:color w:val="auto"/>
        </w:rPr>
      </w:pPr>
    </w:p>
    <w:p>
      <w:pPr>
        <w:jc w:val="both"/>
        <w:ind w:left="20" w:firstLine="360"/>
        <w:spacing w:after="0" w:line="262" w:lineRule="auto"/>
        <w:rPr>
          <w:sz w:val="20"/>
          <w:szCs w:val="20"/>
          <w:color w:val="auto"/>
        </w:rPr>
      </w:pPr>
      <w:r>
        <w:rPr>
          <w:rFonts w:ascii="Times New Roman" w:cs="Times New Roman" w:eastAsia="Times New Roman" w:hAnsi="Times New Roman"/>
          <w:sz w:val="19"/>
          <w:szCs w:val="19"/>
          <w:color w:val="auto"/>
        </w:rPr>
        <w:t>We may seek orphan drug designation and orphan drug exclusivity for one or more of our products or product candidates in the United States and the European Union (“EU”), but we may not be successful. Orphan drug designation does not guarantee regulatory approval or market exclusivity, and orphan drug exclusivity—if granted—is available only upon approval for a specific indication and is subject to significant limitations. Regulatory authorities may deny or revoke orphan designation or exclusivity if applicable criteria are not met, including if disease prevalence is higher than anticipated, if our product is not sufficiently differentiated from other therapies, or if a competing product is determined to be clinically superior. Even if orphan drug exclusivity is obtained, it may be limited in scope,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26 / 117</w:t>
      </w:r>
    </w:p>
    <w:p>
      <w:pPr>
        <w:sectPr>
          <w:pgSz w:w="12240" w:h="15840" w:orient="portrait"/>
          <w:cols w:equalWidth="0" w:num="1">
            <w:col w:w="10840"/>
          </w:cols>
          <w:pgMar w:left="680" w:top="788" w:right="720" w:bottom="0" w:gutter="0" w:footer="0" w:header="0"/>
        </w:sectPr>
      </w:pPr>
    </w:p>
    <w:bookmarkStart w:id="26" w:name="page27"/>
    <w:bookmarkEnd w:id="26"/>
    <w:p>
      <w:pPr>
        <w:jc w:val="both"/>
        <w:spacing w:after="0" w:line="257" w:lineRule="auto"/>
        <w:rPr>
          <w:sz w:val="20"/>
          <w:szCs w:val="20"/>
          <w:color w:val="auto"/>
        </w:rPr>
      </w:pPr>
      <w:r>
        <w:rPr>
          <w:rFonts w:ascii="Times New Roman" w:cs="Times New Roman" w:eastAsia="Times New Roman" w:hAnsi="Times New Roman"/>
          <w:sz w:val="20"/>
          <w:szCs w:val="20"/>
          <w:color w:val="auto"/>
        </w:rPr>
        <w:t>apply only to a particular indication, and may not prevent competitors from developing or commercializing alternative therapies. If we are unable to obtain or maintain orphan drug exclusivity, or if such exclusivity is narrower or less valuable than expected, our ability to successfully commercialize our products candidates could be materially adversely affected.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20"/>
          </w:cols>
          <w:pgMar w:left="70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color w:val="auto"/>
        </w:rPr>
        <w:t>27 / 117</w:t>
      </w:r>
    </w:p>
    <w:p>
      <w:pPr>
        <w:sectPr>
          <w:pgSz w:w="12240" w:h="15840" w:orient="portrait"/>
          <w:cols w:equalWidth="0" w:num="1">
            <w:col w:w="10820"/>
          </w:cols>
          <w:pgMar w:left="700" w:top="557" w:right="720" w:bottom="0" w:gutter="0" w:footer="0" w:header="0"/>
          <w:type w:val="continuous"/>
        </w:sectPr>
      </w:pPr>
    </w:p>
    <w:bookmarkStart w:id="27" w:name="page28"/>
    <w:bookmarkEnd w:id="27"/>
    <w:p>
      <w:pPr>
        <w:ind w:right="3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inability to develop formulations of simufilam appropriate for pediatric patients under the age of 12 could delay or prevent clinical trials of simufilam in that population.</w:t>
      </w:r>
    </w:p>
    <w:p>
      <w:pPr>
        <w:spacing w:after="0" w:line="164"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Our product candidate, simufilam, currently is available only in formulations that may not be appropriate for administration to pediatric patients below the age of 12. The development of age-appropriate formulations for younger pediatric populations presents significant scientific, regulatory, and manufacturing challenges, and we may be unable to develop such formulations in a timely manner or at all. If we are unable to develop formulations suitable for this patient population, we may be required to delay, limit, or forego future clinical trials in patients under the age of 12, which could adversely affect our development timelines, regulatory strategy, and ability to pursue pediatric indications. Any such delays or limitations could materially and adversely affect our business, results of operations, and prospects.</w:t>
      </w:r>
    </w:p>
    <w:p>
      <w:pPr>
        <w:spacing w:after="0" w:line="191"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cannot give any assurance that we will file for regulatory approval for any of our product candidates or that, if we file for approval, our product candidates will receive regulatory approval, which is necessary before they can be commercialized.</w:t>
      </w:r>
    </w:p>
    <w:p>
      <w:pPr>
        <w:spacing w:after="0" w:line="158"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To date, we have invested substantial effort and financial resources to identify, procure intellectual property for, and develop our programs in neurodegeneration and other central nervous system disorders, including conducting preclinical and clinical studies for our product candidate, simufilam, and providing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w:t>
      </w:r>
    </w:p>
    <w:p>
      <w:pPr>
        <w:spacing w:after="0" w:line="192" w:lineRule="exact"/>
        <w:rPr>
          <w:sz w:val="20"/>
          <w:szCs w:val="20"/>
          <w:color w:val="auto"/>
        </w:rPr>
      </w:pPr>
    </w:p>
    <w:p>
      <w:pPr>
        <w:ind w:left="760" w:hanging="370"/>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not successfully complete preclinical studies or clinical studies;</w:t>
      </w:r>
    </w:p>
    <w:p>
      <w:pPr>
        <w:spacing w:after="0" w:line="55" w:lineRule="exact"/>
        <w:rPr>
          <w:rFonts w:ascii="Times New Roman" w:cs="Times New Roman" w:eastAsia="Times New Roman" w:hAnsi="Times New Roman"/>
          <w:sz w:val="20"/>
          <w:szCs w:val="20"/>
          <w:color w:val="auto"/>
        </w:rPr>
      </w:pPr>
    </w:p>
    <w:p>
      <w:pPr>
        <w:ind w:left="760" w:right="20" w:hanging="370"/>
        <w:spacing w:after="0" w:line="258" w:lineRule="auto"/>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candidate may, on further study, be shown to have harmful side effects or other characteristics that indicate it is unlikely to be safe or effective or otherwise does not meet applicable regulatory criteria;</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may develop products or therapies that render our product candidates obsolete or less attractive;</w:t>
      </w:r>
    </w:p>
    <w:p>
      <w:pPr>
        <w:spacing w:after="0" w:line="3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candidates that we develop may not be sufficiently covered by intellectual property;</w:t>
      </w:r>
    </w:p>
    <w:p>
      <w:pPr>
        <w:spacing w:after="0" w:line="58" w:lineRule="exact"/>
        <w:rPr>
          <w:rFonts w:ascii="Times New Roman" w:cs="Times New Roman" w:eastAsia="Times New Roman" w:hAnsi="Times New Roman"/>
          <w:sz w:val="20"/>
          <w:szCs w:val="20"/>
          <w:color w:val="auto"/>
        </w:rPr>
      </w:pPr>
    </w:p>
    <w:p>
      <w:pPr>
        <w:ind w:left="760" w:hanging="370"/>
        <w:spacing w:after="0" w:line="257" w:lineRule="auto"/>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 candidates that we develop may be challenged by third parties’ patents or other intellectual property or exclusive rights;</w:t>
      </w:r>
    </w:p>
    <w:p>
      <w:pPr>
        <w:ind w:left="760" w:right="20" w:hanging="370"/>
        <w:spacing w:after="0" w:line="245" w:lineRule="auto"/>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for our product candidates may change so that the continued development of a product candidate is no longer reasonable or commercially attractive;</w:t>
      </w:r>
    </w:p>
    <w:p>
      <w:pPr>
        <w:ind w:left="760" w:hanging="370"/>
        <w:spacing w:after="0"/>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not be capable of being produced in commercial quantities at an acceptable cost, or at all;</w:t>
      </w:r>
    </w:p>
    <w:p>
      <w:pPr>
        <w:spacing w:after="0" w:line="30" w:lineRule="exact"/>
        <w:rPr>
          <w:rFonts w:ascii="Times New Roman" w:cs="Times New Roman" w:eastAsia="Times New Roman" w:hAnsi="Times New Roman"/>
          <w:sz w:val="20"/>
          <w:szCs w:val="20"/>
          <w:color w:val="auto"/>
        </w:rPr>
      </w:pPr>
    </w:p>
    <w:p>
      <w:pPr>
        <w:ind w:left="760" w:hanging="370"/>
        <w:spacing w:after="0" w:line="258" w:lineRule="auto"/>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product candidate obtains regulatory approval, we may be unable to establish sales and marketing capabilities, or successfully market such approved product candidate, to gain market acceptance; and</w:t>
      </w:r>
    </w:p>
    <w:p>
      <w:pPr>
        <w:spacing w:after="0" w:line="1" w:lineRule="exact"/>
        <w:rPr>
          <w:rFonts w:ascii="Times New Roman" w:cs="Times New Roman" w:eastAsia="Times New Roman" w:hAnsi="Times New Roman"/>
          <w:sz w:val="20"/>
          <w:szCs w:val="20"/>
          <w:color w:val="auto"/>
        </w:rPr>
      </w:pPr>
    </w:p>
    <w:p>
      <w:pPr>
        <w:ind w:left="760" w:hanging="370"/>
        <w:spacing w:after="0" w:line="251" w:lineRule="auto"/>
        <w:tabs>
          <w:tab w:leader="none" w:pos="7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candidate may not be accepted as safe, effective or useful by patients, the medical community or third-party payors, if applicable.</w:t>
      </w:r>
    </w:p>
    <w:p>
      <w:pPr>
        <w:spacing w:after="0" w:line="190" w:lineRule="exact"/>
        <w:rPr>
          <w:sz w:val="20"/>
          <w:szCs w:val="20"/>
          <w:color w:val="auto"/>
        </w:rPr>
      </w:pPr>
    </w:p>
    <w:p>
      <w:pPr>
        <w:jc w:val="both"/>
        <w:ind w:left="20" w:right="20" w:firstLine="360"/>
        <w:spacing w:after="0" w:line="277" w:lineRule="auto"/>
        <w:rPr>
          <w:sz w:val="20"/>
          <w:szCs w:val="20"/>
          <w:color w:val="auto"/>
        </w:rPr>
      </w:pPr>
      <w:r>
        <w:rPr>
          <w:rFonts w:ascii="Times New Roman" w:cs="Times New Roman" w:eastAsia="Times New Roman" w:hAnsi="Times New Roman"/>
          <w:sz w:val="20"/>
          <w:szCs w:val="20"/>
          <w:color w:val="auto"/>
        </w:rPr>
        <w:t>If any of these events occur, we may be forced to abandon our development efforts for a program or programs, which would have a material adverse effect on our business and could potentially cause us to cease operations.</w:t>
      </w:r>
    </w:p>
    <w:p>
      <w:pPr>
        <w:spacing w:after="0" w:line="158"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We may not be successful in our efforts to further develop our product candidates. We are not permitted to market or promote any of our product candidates before we receive regulatory approval from FDA or comparable foreign regulatory authorities, and we may never receive such regulatory approval for any of our product candidates. Simufilam, our lead product candidate, will require successful completion of a Phase 3 program, management of preclinical, clinical, and manufacturing activities, regulatory approval, adequate manufacturing supply, a commercial organization, and significant marketing efforts before we generate any revenue from product sales, if at all.</w:t>
      </w:r>
    </w:p>
    <w:p>
      <w:pPr>
        <w:spacing w:after="0" w:line="190" w:lineRule="exact"/>
        <w:rPr>
          <w:sz w:val="20"/>
          <w:szCs w:val="20"/>
          <w:color w:val="auto"/>
        </w:rPr>
      </w:pPr>
    </w:p>
    <w:p>
      <w:pPr>
        <w:jc w:val="both"/>
        <w:ind w:left="20" w:firstLine="360"/>
        <w:spacing w:after="0" w:line="269" w:lineRule="auto"/>
        <w:rPr>
          <w:sz w:val="20"/>
          <w:szCs w:val="20"/>
          <w:color w:val="auto"/>
        </w:rPr>
      </w:pPr>
      <w:r>
        <w:rPr>
          <w:rFonts w:ascii="Times New Roman" w:cs="Times New Roman" w:eastAsia="Times New Roman" w:hAnsi="Times New Roman"/>
          <w:sz w:val="19"/>
          <w:szCs w:val="19"/>
          <w:color w:val="auto"/>
        </w:rPr>
        <w:t>We have never completed a product development program in neurodegeneration or other central nervous system disorders. Further, we cannot be certain that any of our product candidates will be successful in clinical studies, and we may terminate existing or future clinical studies prior to their completion, as occurred with our REFOCUS -ALZ Phase 3 clinical trial and open-label extension trials for Alzheimer’s disease following the failure of our RETHINK-ALZ Phase 3 clinical trial to achieve its pre-specified endpoints.</w:t>
      </w:r>
    </w:p>
    <w:p>
      <w:pPr>
        <w:spacing w:after="0" w:line="171"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If any of our product candidates successfully complete clinical studies, we may seek regulatory approval to market our product candidates in the U.S., Japan, Canada, the United Kingdom or the European Union, and in additional foreign countries where we believe there is a viable commercial opportunity. We may never receive regulatory approval to market any product candidates anywhere even if such product candidates successfully complete clinical studies, which would adversely affect our viability. To obtain regulatory approval in countries outside the U.S., we would need to comply with numerous and varying regulatory requirements of such other countries regarding safety, efficacy, manufacturing and controls, clinical studies, commercial sales, pricing, and distribution of our product candidates. Even if we are successful in obtaining approval in one jurisdiction, we cannot ensure that we will obtain approval in any other jurisdictions. If we are unable to obtain approval for our product candidates in multiple jurisdictions, our business, financial condition, results of operations, and our growth prospects could be negatively affected.</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28 / 117</w:t>
      </w:r>
    </w:p>
    <w:p>
      <w:pPr>
        <w:sectPr>
          <w:pgSz w:w="12240" w:h="15840" w:orient="portrait"/>
          <w:cols w:equalWidth="0" w:num="1">
            <w:col w:w="10820"/>
          </w:cols>
          <w:pgMar w:left="700" w:top="788" w:right="720" w:bottom="0" w:gutter="0" w:footer="0" w:header="0"/>
        </w:sectPr>
      </w:pPr>
    </w:p>
    <w:bookmarkStart w:id="28" w:name="page29"/>
    <w:bookmarkEnd w:id="28"/>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Even if we receive regulatory approval to market any of our product candidates, whether for the treatment or diagnosis of neurodegenerative diseases or other diseases, we cannot provide assurance that any such product candidate will be successfully commercialized, widely accepted in the marketplace or more effective than other commercially available alternatives.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29 / 117</w:t>
      </w:r>
    </w:p>
    <w:p>
      <w:pPr>
        <w:sectPr>
          <w:pgSz w:w="12240" w:h="15840" w:orient="portrait"/>
          <w:cols w:equalWidth="0" w:num="1">
            <w:col w:w="10800"/>
          </w:cols>
          <w:pgMar w:left="720" w:top="557" w:right="720" w:bottom="0" w:gutter="0" w:footer="0" w:header="0"/>
          <w:type w:val="continuous"/>
        </w:sectPr>
      </w:pPr>
    </w:p>
    <w:bookmarkStart w:id="29" w:name="page30"/>
    <w:bookmarkEnd w:id="29"/>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8" w:lineRule="exact"/>
        <w:rPr>
          <w:sz w:val="20"/>
          <w:szCs w:val="20"/>
          <w:color w:val="auto"/>
        </w:rPr>
      </w:pPr>
    </w:p>
    <w:p>
      <w:pPr>
        <w:ind w:left="20"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can be no assurance that promising results of preclinical studies or Phase 1 or Phase 2 clinical trials with simufilam will be reproduced in later stage studies, including Phase 3 studies.</w:t>
      </w:r>
    </w:p>
    <w:p>
      <w:pPr>
        <w:spacing w:after="0" w:line="15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Results of any of our preclinical studies or Phase 1 or Phase 2 clinical trials with simufilam are not predictive of the future results of any other trial, including any later -stage Phase 3 clinical trials. Notwithstanding promising results in earlier stage trials, our two Phase 3 trials in Alzheimer’s disease did not meet each of the pre-specified co-primary, secondary and exploratory biomarker endpoints. Simufilam may fail to show the desired safety and efficacy in additional Phase 3 clinical trials despite having progressed successfully through preclinical studies and initial clinical trials in the applicable indication. Many biopharmaceutical companies have suffered significant setbacks in Phase 3 clinical trials due to lack of efficacy or adverse safety profiles, notwithstanding promising results in earlier trials. We cannot be certain that our product candidates under development will not continue to face similar setbacks.</w:t>
      </w:r>
    </w:p>
    <w:p>
      <w:pPr>
        <w:spacing w:after="0" w:line="19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addition, preliminary conclusions based on data from analyses of Phase 1 and Phase 2 clinical studies and open-label results may not be reproduced when implemented in large, well-controlled, randomized clinical trials. Particular caution should be exercised when interpreting preliminary data, data relating to a small number of patients and data from open -label uncontrolled studies, which are generally not capable of providing interpretable evidence of efficacy. Phase 1 studies are designed to assess the initial safety characteristics of simufilam. Such studies are not designed to, and do not, evaluate safety, tolerability and efficacy of simufilam in patients. Similarly, Phase 2 clinical studies with simufilam that we conduct are designed to assess the safety characteristics of simufilam in patients. Such Phase 2 programs are not designed to, and do not, evaluate large-scale or long-term safety, tolerability and efficacy of simufilam in patients. There can be no assurance that future large, well-controlled, multi-dose studies will demonstrate the safety, tolerability or efficacy of simufilam to treat patients with any indication, including TSC-related epilepsy.</w:t>
      </w:r>
    </w:p>
    <w:p>
      <w:pPr>
        <w:spacing w:after="0" w:line="195"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Even if clinical trials for simufilam are completed, we cannot be certain that their results will support the substantial evidence of safety and efficacy needed to obtain regulatory approval. The failure of simufilam to show safety, tolerability or efficacy in any future clinical studies would significantly harm our business.</w:t>
      </w:r>
    </w:p>
    <w:p>
      <w:pPr>
        <w:spacing w:after="0" w:line="178" w:lineRule="exact"/>
        <w:rPr>
          <w:sz w:val="20"/>
          <w:szCs w:val="20"/>
          <w:color w:val="auto"/>
        </w:rPr>
      </w:pPr>
    </w:p>
    <w:p>
      <w:pPr>
        <w:ind w:left="20"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Results observed in preclinical studies and early stage clinical trials for simufilam are not sufficient evidence of drug safety or efficacy for purposes of regulatory approval.</w:t>
      </w:r>
    </w:p>
    <w:p>
      <w:pPr>
        <w:spacing w:after="0" w:line="16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Data results from any preclinical and early stage studies that we conduct do not constitute, and should not be interpreted as, sufficient evidence of safety or efficacy for simufilam to obtain regulatory approval in the applicable indication, including TSC -related epilepsy. Rigorous evidence for drug safety and efficacy is derived only from one or more large, randomized, placebo-controlled studies. The size and open-label design of portions of our early stage studies may introduce clinical or statistical bias or may generate results that may not fully distinguish between drug effects and random variation. Different methods of statistical analysis on clinical data from the same study may lead to objectively different numerical results. These and other statistical and clinical features of our early stage studies add complexity or limitations to the scope of data interpretation.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30 / 117</w:t>
      </w:r>
    </w:p>
    <w:p>
      <w:pPr>
        <w:sectPr>
          <w:pgSz w:w="12240" w:h="15840" w:orient="portrait"/>
          <w:cols w:equalWidth="0" w:num="1">
            <w:col w:w="10820"/>
          </w:cols>
          <w:pgMar w:left="700" w:top="788" w:right="720" w:bottom="0" w:gutter="0" w:footer="0" w:header="0"/>
        </w:sectPr>
      </w:pPr>
    </w:p>
    <w:bookmarkStart w:id="30" w:name="page31"/>
    <w:bookmarkEnd w:id="30"/>
    <w:p>
      <w:pPr>
        <w:ind w:right="1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encounter substantial delays in the clinical studies that we conduct or may not be able to conduct or complete our clinical studies on the timelines we expect, if at all.</w:t>
      </w:r>
    </w:p>
    <w:p>
      <w:pPr>
        <w:spacing w:after="0" w:line="16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Clinical testing is expensive, time consuming, and subject to uncertainty. We cannot guarantee that any clinical studies will be conducted as planned, enroll patients as planned or be completed on schedule, if at all. As demonstrated by the clinical hold issued by FDA for our planned proof of concept trial in TSC-related epilepsy, regulatory action can delay a clinical study’s initiation and/or completion. Moreover, even after our studies begin, safety or other issues may arise that could suspend or terminate such clinical studies. A failure of one or more clinical studies can occur at any stage of testing, and our ongoing or future clinical studies may not be successful. Events that may prevent successful or timely initiation or completion of clinical studies include:</w:t>
      </w:r>
    </w:p>
    <w:p>
      <w:pPr>
        <w:spacing w:after="0" w:line="196" w:lineRule="exact"/>
        <w:rPr>
          <w:sz w:val="20"/>
          <w:szCs w:val="20"/>
          <w:color w:val="auto"/>
        </w:rPr>
      </w:pPr>
    </w:p>
    <w:p>
      <w:pPr>
        <w:ind w:left="740" w:hanging="370"/>
        <w:spacing w:after="0" w:line="258"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generate sufficient or necessary preclinical, toxicology, or other in vivo or in vitro data to support the initiation or continuation of clinical studies or to support the filing of a New Drug Application for simufilam;</w:t>
      </w:r>
    </w:p>
    <w:p>
      <w:pPr>
        <w:spacing w:after="0" w:line="1" w:lineRule="exact"/>
        <w:rPr>
          <w:rFonts w:ascii="Times New Roman" w:cs="Times New Roman" w:eastAsia="Times New Roman" w:hAnsi="Times New Roman"/>
          <w:sz w:val="20"/>
          <w:szCs w:val="20"/>
          <w:color w:val="auto"/>
        </w:rPr>
      </w:pPr>
    </w:p>
    <w:p>
      <w:pPr>
        <w:ind w:left="740" w:hanging="370"/>
        <w:spacing w:after="0" w:line="245"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confirming target engagement, patient selection, or other relevant biomarkers to be utilized in preclinical and clinical product candidate development;</w:t>
      </w: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 consensus with regulatory agencies on study design;</w:t>
      </w:r>
    </w:p>
    <w:p>
      <w:pPr>
        <w:spacing w:after="0" w:line="30" w:lineRule="exact"/>
        <w:rPr>
          <w:rFonts w:ascii="Times New Roman" w:cs="Times New Roman" w:eastAsia="Times New Roman" w:hAnsi="Times New Roman"/>
          <w:sz w:val="20"/>
          <w:szCs w:val="20"/>
          <w:color w:val="auto"/>
        </w:rPr>
      </w:pPr>
    </w:p>
    <w:p>
      <w:pPr>
        <w:ind w:left="740" w:hanging="370"/>
        <w:spacing w:after="0" w:line="258"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an agreement on acceptable terms with prospective clinical study sites, the terms of which can be subject to extensive negotiation and may vary significantly among different clinical study sites;</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identifying and recruiting suitable clinical investigators;</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obtaining required IRB approval for each clinical study site or adverse action by one or more IRBs;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safety finding that presents unreasonable risk to clinical study participants;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negative finding from an inspection of our CRO, clinical study operations or study sites;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finding that the investigational protocol or plan is deficient to meet its stated objectives;</w:t>
      </w:r>
    </w:p>
    <w:p>
      <w:pPr>
        <w:spacing w:after="0" w:line="55" w:lineRule="exact"/>
        <w:rPr>
          <w:rFonts w:ascii="Times New Roman" w:cs="Times New Roman" w:eastAsia="Times New Roman" w:hAnsi="Times New Roman"/>
          <w:sz w:val="20"/>
          <w:szCs w:val="20"/>
          <w:color w:val="auto"/>
        </w:rPr>
      </w:pPr>
    </w:p>
    <w:p>
      <w:pPr>
        <w:ind w:left="740" w:hanging="370"/>
        <w:spacing w:after="0" w:line="258"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identifying, recruiting, and enrolling suitable patients to participate in our clinical studies, and delays caused by patients withdrawing from clinical studies, or failing to return for post-treatment follow-up;</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caused by disease epidemics, pandemics, or other health crises;</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collaborating with patient groups and investigators;</w:t>
      </w:r>
    </w:p>
    <w:p>
      <w:pPr>
        <w:spacing w:after="0" w:line="58"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our CRO or other third parties, or us to adhere to clinical study requirements;</w:t>
      </w:r>
    </w:p>
    <w:p>
      <w:pPr>
        <w:spacing w:after="0" w:line="55" w:lineRule="exact"/>
        <w:rPr>
          <w:rFonts w:ascii="Times New Roman" w:cs="Times New Roman" w:eastAsia="Times New Roman" w:hAnsi="Times New Roman"/>
          <w:sz w:val="20"/>
          <w:szCs w:val="20"/>
          <w:color w:val="auto"/>
        </w:rPr>
      </w:pPr>
    </w:p>
    <w:p>
      <w:pPr>
        <w:ind w:left="740" w:right="20" w:hanging="370"/>
        <w:spacing w:after="0" w:line="257"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perform in accordance with FDA’s or any other regulatory authority’s Code of Good Clinical Practice (GCP) requirements, or other regulatory guidelines in other countries;</w:t>
      </w: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adverse events associated with the product candidate that are viewed to outweigh its potential benefits;</w:t>
      </w:r>
    </w:p>
    <w:p>
      <w:pPr>
        <w:spacing w:after="0" w:line="32"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pacing w:after="0" w:line="56"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standard of care on which a clinical development plan was based, which may require new or additional studies;</w:t>
      </w:r>
    </w:p>
    <w:p>
      <w:pPr>
        <w:spacing w:after="0" w:line="67" w:lineRule="exact"/>
        <w:rPr>
          <w:rFonts w:ascii="Times New Roman" w:cs="Times New Roman" w:eastAsia="Times New Roman" w:hAnsi="Times New Roman"/>
          <w:sz w:val="19"/>
          <w:szCs w:val="19"/>
          <w:color w:val="auto"/>
        </w:rPr>
      </w:pPr>
    </w:p>
    <w:p>
      <w:pPr>
        <w:ind w:left="740" w:hanging="370"/>
        <w:spacing w:after="0"/>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studies of our product candidates being greater than we anticipate;</w:t>
      </w:r>
    </w:p>
    <w:p>
      <w:pPr>
        <w:spacing w:after="0" w:line="55" w:lineRule="exact"/>
        <w:rPr>
          <w:rFonts w:ascii="Times New Roman" w:cs="Times New Roman" w:eastAsia="Times New Roman" w:hAnsi="Times New Roman"/>
          <w:sz w:val="20"/>
          <w:szCs w:val="20"/>
          <w:color w:val="auto"/>
        </w:rPr>
      </w:pPr>
    </w:p>
    <w:p>
      <w:pPr>
        <w:ind w:left="740" w:right="20" w:hanging="370"/>
        <w:spacing w:after="0" w:line="258"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studies of our product candidates producing negative or inconclusive results, which may result in our deciding, or regulators requiring us, to conduct additional clinical studies or abandon product development programs; and</w:t>
      </w:r>
    </w:p>
    <w:p>
      <w:pPr>
        <w:spacing w:after="0" w:line="1" w:lineRule="exact"/>
        <w:rPr>
          <w:rFonts w:ascii="Times New Roman" w:cs="Times New Roman" w:eastAsia="Times New Roman" w:hAnsi="Times New Roman"/>
          <w:sz w:val="20"/>
          <w:szCs w:val="20"/>
          <w:color w:val="auto"/>
        </w:rPr>
      </w:pPr>
    </w:p>
    <w:p>
      <w:pPr>
        <w:ind w:left="740" w:right="20" w:hanging="370"/>
        <w:spacing w:after="0" w:line="250" w:lineRule="auto"/>
        <w:tabs>
          <w:tab w:leader="none" w:pos="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manufacturing, testing, releasing, validating, or importing/exporting sufficient stable quantities of our product candidates for use in clinical studies or the inability to do any of the foregoing.</w:t>
      </w:r>
    </w:p>
    <w:p>
      <w:pPr>
        <w:spacing w:after="0" w:line="18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Any inability to successfully initiate or complete clinical studies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 or the termination of such clinical studies prior to their completion, either of which could adversely affect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31 / 117</w:t>
      </w:r>
    </w:p>
    <w:p>
      <w:pPr>
        <w:sectPr>
          <w:pgSz w:w="12240" w:h="15840" w:orient="portrait"/>
          <w:cols w:equalWidth="0" w:num="1">
            <w:col w:w="10800"/>
          </w:cols>
          <w:pgMar w:left="720" w:top="788" w:right="720"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Governmental actions with respect to U.S. drug prices could negatively impact our business.</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U.S. federal and state governments have proposed and implemented, and may continue to propose or implement, measures intended to reduce prescription drug prices or control healthcare costs. Such actions could result in pricing or reimbursement pressures, increased compliance obligations, or changes in market access for our future products, which could materially and adversely affect our business, financial condition, results of operations, and prospects.</w:t>
      </w:r>
    </w:p>
    <w:p>
      <w:pPr>
        <w:spacing w:after="0" w:line="184"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physicians and patients do not accept and use our drugs, we will not achieve sufficient product revenues and our business will suffer.</w:t>
      </w:r>
    </w:p>
    <w:p>
      <w:pPr>
        <w:spacing w:after="0" w:line="160"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Even if FDA approves our drugs, physicians and patients may not accept and use them. Acceptance and use of our drugs will depend on a number of factors including:</w:t>
      </w:r>
    </w:p>
    <w:p>
      <w:pPr>
        <w:spacing w:after="0" w:line="163" w:lineRule="exact"/>
        <w:rPr>
          <w:sz w:val="20"/>
          <w:szCs w:val="20"/>
          <w:color w:val="auto"/>
        </w:rPr>
      </w:pPr>
    </w:p>
    <w:p>
      <w:pPr>
        <w:ind w:left="760" w:hanging="370"/>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drug is launched into the market and related competition;</w:t>
      </w:r>
    </w:p>
    <w:p>
      <w:pPr>
        <w:spacing w:after="0" w:line="58"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label claims;</w:t>
      </w:r>
    </w:p>
    <w:p>
      <w:pPr>
        <w:spacing w:after="0" w:line="55" w:lineRule="exact"/>
        <w:rPr>
          <w:rFonts w:ascii="Times New Roman" w:cs="Times New Roman" w:eastAsia="Times New Roman" w:hAnsi="Times New Roman"/>
          <w:sz w:val="20"/>
          <w:szCs w:val="20"/>
          <w:color w:val="auto"/>
        </w:rPr>
      </w:pPr>
    </w:p>
    <w:p>
      <w:pPr>
        <w:ind w:left="760" w:right="20" w:hanging="370"/>
        <w:spacing w:after="0" w:line="258"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by members of the healthcare community, including physicians, about the safety, side effects and effectiveness of our drugs;</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perceptions by physicians regarding the cost-benefit of our product candidates;</w:t>
      </w:r>
    </w:p>
    <w:p>
      <w:pPr>
        <w:spacing w:after="0" w:line="3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published studies demonstrating the cost effectiveness of our drugs relative to competing products;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reimbursement for our products from government or healthcare payers;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effectiveness of marketing and distribution efforts by us and other licensees and distributors.</w:t>
      </w:r>
    </w:p>
    <w:p>
      <w:pPr>
        <w:spacing w:after="0" w:line="281"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Because we expect to rely on sales generated by our current lead product candidates for substantially all of our revenues for the foreseeable future, the failure of any of these drugs to find market acceptance would harm our business and could require us to seek additional financing.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32 / 117</w:t>
      </w:r>
    </w:p>
    <w:p>
      <w:pPr>
        <w:sectPr>
          <w:pgSz w:w="12240" w:h="15840" w:orient="portrait"/>
          <w:cols w:equalWidth="0" w:num="1">
            <w:col w:w="10820"/>
          </w:cols>
          <w:pgMar w:left="700" w:top="788" w:right="720" w:bottom="0" w:gutter="0" w:footer="0" w:header="0"/>
        </w:sectPr>
      </w:pPr>
    </w:p>
    <w:bookmarkStart w:id="32" w:name="page33"/>
    <w:bookmarkEnd w:id="32"/>
    <w:p>
      <w:pPr>
        <w:ind w:left="20" w:righ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developing our product candidates in neurodegeneration or other forms of central nervous system disorders .</w:t>
      </w:r>
    </w:p>
    <w:p>
      <w:pPr>
        <w:spacing w:after="0" w:line="164"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Our product candidates are still in development. Such product candidates will take several years to develop and must undergo extensive clinical and scientific validations. Even if we are successful in developing any of our product candidates through clinical and scientific validation, we may not be able to develop a drug or a diagnostic that:</w:t>
      </w:r>
    </w:p>
    <w:p>
      <w:pPr>
        <w:spacing w:after="0" w:line="182" w:lineRule="exact"/>
        <w:rPr>
          <w:sz w:val="20"/>
          <w:szCs w:val="20"/>
          <w:color w:val="auto"/>
        </w:rPr>
      </w:pPr>
    </w:p>
    <w:p>
      <w:pPr>
        <w:ind w:left="760" w:hanging="370"/>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meets applicable regulatory standards, in a timely manner or at all;</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competes with other technologies and tests;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avoids infringing the proprietary rights of others;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adequately reimbursed by third-party payors;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performed at commercial levels or at reasonable cost; or</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 be successfully marketed.</w:t>
      </w:r>
    </w:p>
    <w:p>
      <w:pPr>
        <w:spacing w:after="0" w:line="281"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To the extent we are not successful in developing product candidates, our results of operations and business will be materially adversely affected.</w:t>
      </w:r>
    </w:p>
    <w:p>
      <w:pPr>
        <w:spacing w:after="0" w:line="161"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Interim,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top-line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and preliminary data from our clinical trials that we announce or publish from time to time are likely to change as more patient data become available and are subject to audit and verification procedures that could result in material changes in the final dataset.</w:t>
      </w:r>
    </w:p>
    <w:p>
      <w:pPr>
        <w:spacing w:after="0" w:line="180"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From time to time, we may publish “top-line” or preliminary data from our clinical trials. We also make assumptions, estimations, calculations and conclusions as part of our analyses of data, and we may not have received or had the opportunity to fully and carefully evaluate all data at the time of its initial release. As a result, the top-line results that we report may differ from future results of the same studies, or different conclusions or considerations may qualify such results, once additional data have been received and fully evaluated. Such data from clinical trials may materially change as more study data become available. Preliminary or “top-line” data also remain subject to audit and verification procedures that may result in the final data being materially different from the preliminary data we previously published. As a result, preliminary top-line data should be viewed with caution until the final data is available. Differences between preliminary or top-line data and final data could significantly harm our business prospects and may cause the trading price of our securities to fluctuate significantly.</w:t>
      </w:r>
    </w:p>
    <w:p>
      <w:pPr>
        <w:spacing w:after="0" w:line="195"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Furthermore, other parties, including regulatory agencies, may not accept or agree with our assumptions, estimates, calculations, conclusions or analyses or may interpret or weigh the importance of data differently than us,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92"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do not have the in-house capabilities to manufacture or commercialize our product candidates, and we rely on a third-party commercial drug manufacturing organization for supplies of simufilam. If we are unable to develop our own manufacturing, sales, marketing and distribution capabilities, or if we are not successful in contracting with third parties for these services on favorable terms, or at all, our product revenues could be adversely impacted.</w:t>
      </w:r>
    </w:p>
    <w:p>
      <w:pPr>
        <w:spacing w:after="0" w:line="184"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We rely on various third parties to manufacture, fill, label, store, test and ship our product candidates. We plan to continue to outsource formulation, manufacturing and related activities. These suppliers must comply with cGMP regulations enforced by FDA and other government agencies, and are subject to ongoing periodic unannounced inspection, including preapproval inspections by FDA and corresponding state and foreign government agencies to ensure strict compliance with cGMP and other standards. These manufacturers may subsequently be stopped from producing, manufacturing, filling, labeling, storing, testing and shipping our product candidates due to their non-compliance with federal, state or local regulations. We do not have control over our suppliers’ compliance with these regulations and standards and we cannot control decisions by our suppliers that affect their ability or willingness to continue to supply us on acceptable terms, or at all.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33 / 117</w:t>
      </w:r>
    </w:p>
    <w:p>
      <w:pPr>
        <w:sectPr>
          <w:pgSz w:w="12240" w:h="15840" w:orient="portrait"/>
          <w:cols w:equalWidth="0" w:num="1">
            <w:col w:w="10820"/>
          </w:cols>
          <w:pgMar w:left="700" w:top="788" w:right="720" w:bottom="0" w:gutter="0" w:footer="0" w:header="0"/>
        </w:sectPr>
      </w:pPr>
    </w:p>
    <w:bookmarkStart w:id="33" w:name="page34"/>
    <w:bookmarkEnd w:id="33"/>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Disputes may arise with third party service providers, which may lead to termination of an agreement. If an agreement is terminated, we would not be able to commercialize our product candidates until another manufacturer is identified and we have entered into a manufacturing agreement with such manufacturer. We may not be able to replace a commercial supplier on commercially reasonable terms, or at all. Replacing any of our commercial suppliers would be expensive and time consuming. Failure by any of our suppliers to perform as expected could delay or prevent the commercialization or potential regulatory approval of our product candidates for an extended period of time, result in shortages, cost overruns or other problems and would materially harm our business.</w:t>
      </w:r>
    </w:p>
    <w:p>
      <w:pPr>
        <w:spacing w:after="0" w:line="177"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We currently do not have the sales, marketing or distribution capabilities necessary to support a commercial program. We have not established commercial strategies regarding any of our product candidates. In order to commercialize our products, if any are approved by FDA, we will either have to develop such capabilities internally or collaborate with third parties who can perform these services for us.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If we decide to commercialize any of our drugs ourselves, we may not be able to</w:t>
      </w:r>
    </w:p>
    <w:p>
      <w:pPr>
        <w:spacing w:after="0" w:line="233" w:lineRule="exact"/>
        <w:rPr>
          <w:sz w:val="20"/>
          <w:szCs w:val="20"/>
          <w:color w:val="auto"/>
        </w:rPr>
      </w:pPr>
    </w:p>
    <w:p>
      <w:pPr>
        <w:ind w:left="760" w:hanging="370"/>
        <w:spacing w:after="0"/>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and retain the necessary experienced personnel;</w:t>
      </w:r>
    </w:p>
    <w:p>
      <w:pPr>
        <w:spacing w:after="0" w:line="55" w:lineRule="exact"/>
        <w:rPr>
          <w:rFonts w:ascii="Times New Roman" w:cs="Times New Roman" w:eastAsia="Times New Roman" w:hAnsi="Times New Roman"/>
          <w:sz w:val="20"/>
          <w:szCs w:val="20"/>
          <w:color w:val="auto"/>
        </w:rPr>
      </w:pPr>
    </w:p>
    <w:p>
      <w:pPr>
        <w:ind w:left="760" w:hanging="370"/>
        <w:spacing w:after="0" w:line="258" w:lineRule="auto"/>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sales, marketing and distribution operations in a cost-effective manner which are capable of successfully launching new drugs;</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access to adequate numbers of physicians to prescribe our products; or</w:t>
      </w:r>
    </w:p>
    <w:p>
      <w:pPr>
        <w:spacing w:after="0" w:line="3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generate sufficient product revenues.</w:t>
      </w:r>
    </w:p>
    <w:p>
      <w:pPr>
        <w:spacing w:after="0" w:line="281"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In addition, establishing such operations on our own will take time and involve significant expense. If our commercial operations lack complementary products, we may not be able to compete in a cost-effective manner with competitors with more products to sell. If we engage third-party collaborators to perform any commercial operations, our future revenues may depend significantly upon the performance of those collaborators. If we decide to enter into new co- promotion or other licensing arrangements with third parties, we may be unable to locate acceptable collaborators because the number of potential collaborators is limited and because of competition from others for similar alliances. Even if we are able to identify one or more acceptable new collaborators, we may not be able to enter into any collaborative arrangements on favorable terms, or at all.</w:t>
      </w:r>
    </w:p>
    <w:p>
      <w:pPr>
        <w:spacing w:after="0" w:line="191"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In addition, due to the nature of the market for our product candidates, it may be necessary for us to license all or substantially all of our product candidates to a single collaborator, thereby eliminating our opportunity to commercialize these other products independently. If we enter into any such new collaborative arrangements, our revenues are likely to be lower than if we marketed and sold our products ourselves.</w:t>
      </w:r>
    </w:p>
    <w:p>
      <w:pPr>
        <w:spacing w:after="0" w:line="188"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In addition, any revenues we receive would depend upon our collaborators’ efforts which may not be adequate due to lack of attention or resource commitments, management turnover, change of strategic focus, business combinations or other factors outside of our control. Depending upon the terms of our collaboration, the remedies we have against an under -performing collaborator may be limited. If we were to terminate the relationship, it may be difficult or impossible to find a replacement collaborator on acceptable terms, or at all.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34 / 117</w:t>
      </w:r>
    </w:p>
    <w:p>
      <w:pPr>
        <w:sectPr>
          <w:pgSz w:w="12240" w:h="15840" w:orient="portrait"/>
          <w:cols w:equalWidth="0" w:num="1">
            <w:col w:w="10820"/>
          </w:cols>
          <w:pgMar w:left="700" w:top="788" w:right="720" w:bottom="0" w:gutter="0" w:footer="0" w:header="0"/>
        </w:sectPr>
      </w:pPr>
    </w:p>
    <w:bookmarkStart w:id="34" w:name="page35"/>
    <w:bookmarkEnd w:id="34"/>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studies and some aspects of our research, and such third parties may not perform satisfactorily, which could delay or harm our studies, research, and testing.</w:t>
      </w:r>
    </w:p>
    <w:p>
      <w:pPr>
        <w:spacing w:after="0" w:line="16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substantially rely and expect to continue to rely on third parties, such as CROs, clinical data management organizations, medical institutions, and clinical investigators, to conduct some aspects of our research and preclinical testing and our clinical studies. Any of these third parties may terminate their engagements with us or be unable to fulfill their contractual obligations. If we need to enter into alternative arrangements, it will delay our product development activities.</w:t>
      </w:r>
    </w:p>
    <w:p>
      <w:pPr>
        <w:spacing w:after="0" w:line="184"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Our reliance on these third parties for research and development activities reduces our control over these activities but does not relieve us of our responsibilities. For example, we remain responsible for ensuring that all of our clinical studies are conducted in accordance with the general investigational plan and protocols for the trial. Moreover, FDA requires us to comply with the norms of Good Clinical Practice (GCPs) for conducting, recording, and reporting the results of clinical studies to assure that data and reported results are credible, reproducible, and accurate and that the rights, integrity, and confidentiality of study participants are protected. We also are required to register ongoing clinical studies and post the results of completed clinical studies on a government-sponsored database within certain timeframes. Failure to do so can result in fines, adverse publicity, and civil and criminal sanctions.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If our third-party vendors do not successfully carry out their contractual duties, meet expected deadlines, or conduct studies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product candidates. For example, one of our vendors in the past failed to fully comply with certain Good Laboratory Practice (GLP) norms in its research facility, which required us to repeat a lab study at a different research site.</w:t>
      </w:r>
    </w:p>
    <w:p>
      <w:pPr>
        <w:spacing w:after="0" w:line="188"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also rely on other third parties to label, store and distribute drug supplies for our clinical studies. Any performance failure on the part of our distributors, including with the shipment of any drug supplies, could delay clinical development or marketing approval of any product candidates we may develop or commercialization of our product candidates, producing additional losses and depriving us of potential product revenue.</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expand our technology or product candidates in other indications.</w:t>
      </w:r>
    </w:p>
    <w:p>
      <w:pPr>
        <w:spacing w:after="0" w:line="231"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Until 2025, our drug development strategy has been focused on clinically testing our product candidates in Alzheimer’s disease. We are now expanding our research efforts into other areas of clinical medicine based on a variety of factors, with an initial focus on TSC-related epilepsy. We are currently subject to a full clinical hold. If we are successful in our efforts to have the clinical hold lifted, we intend to conduct a proof-of-concept clinical study to better understand simufilam’s potential as a treatment for TSC-related epilepsy. Conducting clinical studies for additional indications for our product candidates will require substantial technical, financial and human resources and is prone to the inherent risks of failure in drug development. We cannot provide any assurance that we will be successful in our effort to expand our technology or our product candidates in additional indications.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If we fail to successfully identify and develop additional product candidates, our commercial opportunity will be limited.</w:t>
      </w:r>
    </w:p>
    <w:p>
      <w:pPr>
        <w:spacing w:after="0" w:line="231" w:lineRule="exact"/>
        <w:rPr>
          <w:sz w:val="20"/>
          <w:szCs w:val="20"/>
          <w:color w:val="auto"/>
        </w:rPr>
      </w:pPr>
    </w:p>
    <w:p>
      <w:pPr>
        <w:jc w:val="both"/>
        <w:ind w:left="20" w:firstLine="360"/>
        <w:spacing w:after="0" w:line="265" w:lineRule="auto"/>
        <w:rPr>
          <w:sz w:val="20"/>
          <w:szCs w:val="20"/>
          <w:color w:val="auto"/>
        </w:rPr>
      </w:pPr>
      <w:r>
        <w:rPr>
          <w:rFonts w:ascii="Times New Roman" w:cs="Times New Roman" w:eastAsia="Times New Roman" w:hAnsi="Times New Roman"/>
          <w:sz w:val="19"/>
          <w:szCs w:val="19"/>
          <w:color w:val="auto"/>
        </w:rPr>
        <w:t>Identifying, developing, obtaining regulatory approval for, and commercializing additional product candidates requires substantial expertise and funding and is prone to the risks of failure inherent in drug development. We cannot provide any assurance that we will be able to successfully identify or acquire additional product candidates, advance any additional product candidates through the development process, or assemble sufficient resources to identify, acquire, or develop additional product candidates. If we are unable to successfully identify, acquire, develop, and commercialize additional product candidates, our commercial opportunity may be limited.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35 / 117</w:t>
      </w:r>
    </w:p>
    <w:p>
      <w:pPr>
        <w:sectPr>
          <w:pgSz w:w="12240" w:h="15840" w:orient="portrait"/>
          <w:cols w:equalWidth="0" w:num="1">
            <w:col w:w="10820"/>
          </w:cols>
          <w:pgMar w:left="700" w:top="788" w:right="720" w:bottom="0" w:gutter="0" w:footer="0" w:header="0"/>
        </w:sectPr>
      </w:pPr>
    </w:p>
    <w:bookmarkStart w:id="35" w:name="page36"/>
    <w:bookmarkEnd w:id="35"/>
    <w:p>
      <w:pPr>
        <w:jc w:val="both"/>
        <w:ind w:left="4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Our clinical studies may fail to demonstrate substantial evidence of the safety and efficacy of our product candidates and may suffer from improper or inadequate study design or enrollment criteria, which would prevent, delay, or limit the scope of regulatory approval and commercialization.</w:t>
      </w:r>
    </w:p>
    <w:p>
      <w:pPr>
        <w:spacing w:after="0" w:line="181" w:lineRule="exact"/>
        <w:rPr>
          <w:sz w:val="20"/>
          <w:szCs w:val="20"/>
          <w:color w:val="auto"/>
        </w:rPr>
      </w:pPr>
    </w:p>
    <w:p>
      <w:pPr>
        <w:jc w:val="both"/>
        <w:ind w:left="40" w:firstLine="360"/>
        <w:spacing w:after="0" w:line="251" w:lineRule="auto"/>
        <w:rPr>
          <w:sz w:val="20"/>
          <w:szCs w:val="20"/>
          <w:color w:val="auto"/>
        </w:rPr>
      </w:pPr>
      <w:r>
        <w:rPr>
          <w:rFonts w:ascii="Times New Roman" w:cs="Times New Roman" w:eastAsia="Times New Roman" w:hAnsi="Times New Roman"/>
          <w:sz w:val="20"/>
          <w:szCs w:val="20"/>
          <w:color w:val="auto"/>
        </w:rPr>
        <w:t>Before obtaining regulatory approvals for any of our product candidates, we must demonstrate through lengthy, complex, and expensive preclinical experiments and clinical studies that our product candidates are both safe and effective for use in an intended population. Each product candidate must demonstrate an adequate risk versus benefit profile in its intended patient population and for its intended use, as determined by the FDA in the United States.</w:t>
      </w:r>
    </w:p>
    <w:p>
      <w:pPr>
        <w:spacing w:after="0" w:line="188"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19"/>
          <w:szCs w:val="19"/>
          <w:color w:val="auto"/>
        </w:rPr>
        <w:t>New drug discovery, development and commercialization involves a high degree of risk. The process is expensive and complex and can take many years to complete, and its outcome is inherently uncertain. It can take over 10 to 15 years and cost over $1 to $ 2 billion for each new drug candidate to achieve regulatory approval. Only a small number of research and development programs achieve regulatory approval and subsequent commercialization of a drug product. We believe that in recent decades about 90 to 95% of novel drug candidates under development by the biopharmaceutical industry have failed to achieve regulatory approval and subsequent commercialization. Failure can occur at any time during the drug discovery and development process and such failures may be due to lack of clinical efficacy, adverse safety profile, regulatory hurdles, excessive costs, lack of perceived market opportunity, lack of resources, insufficient reimbursement from insurers, inability to compete or for other reasons. Many biopharmaceutical companies have suffered significant setbacks in Phase 3 clinical trials due to lack of efficacy or adverse safety profiles, notwithstanding promising results in earlier trials. Seasoned professionals with a prior track record of innovation in drug discovery and development, as well as substantial business expertise, routinely fail to achieve regulatory approval of new product candidates.</w:t>
      </w:r>
    </w:p>
    <w:p>
      <w:pPr>
        <w:spacing w:after="0" w:line="187"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The results of our preclinical studies with our product candidates may not be predictive of the results of early- stage or later-stage clinical studies, and results of early clinical studies of our product candidates may not be predictive of the results of later-stage clinical studies. The results of clinical studies in one set of patients or disease indications may not be predictive of those obtained in another. In some instances, 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dosing regimen, and other clinical study protocols and the rate of dropout among clinical study participants. Product candidates in later stages of clinical studies may fail to show the desired safety and efficacy profile despite having progressed through preclinical studies and initial clinical studies. Most new product candidates for central nervous system disorders that begin clinical studies are never approved by regulatory authorities for commercialization.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36 / 117</w:t>
      </w:r>
    </w:p>
    <w:p>
      <w:pPr>
        <w:sectPr>
          <w:pgSz w:w="12240" w:h="15840" w:orient="portrait"/>
          <w:cols w:equalWidth="0" w:num="1">
            <w:col w:w="10840"/>
          </w:cols>
          <w:pgMar w:left="680" w:top="788" w:right="720" w:bottom="0" w:gutter="0" w:footer="0" w:header="0"/>
        </w:sectPr>
      </w:pPr>
    </w:p>
    <w:bookmarkStart w:id="36" w:name="page37"/>
    <w:bookmarkEnd w:id="36"/>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clinical trials may suffer from improper or inadequate study design or enrollment criteria. We have limited experience in designing clinical studies in neurodegeneration and may be unable to design and execute a clinical study to support marketing approval. We cannot be certain that our current clinical studies or any other future clinical studies will be successful. Additionally, any safety concerns observed in any one of our clinical studies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188" w:lineRule="exact"/>
        <w:rPr>
          <w:sz w:val="20"/>
          <w:szCs w:val="20"/>
          <w:color w:val="auto"/>
        </w:rPr>
      </w:pPr>
    </w:p>
    <w:p>
      <w:pPr>
        <w:jc w:val="both"/>
        <w:ind w:left="20" w:firstLine="360"/>
        <w:spacing w:after="0" w:line="263" w:lineRule="auto"/>
        <w:rPr>
          <w:sz w:val="20"/>
          <w:szCs w:val="20"/>
          <w:color w:val="auto"/>
        </w:rPr>
      </w:pPr>
      <w:r>
        <w:rPr>
          <w:rFonts w:ascii="Times New Roman" w:cs="Times New Roman" w:eastAsia="Times New Roman" w:hAnsi="Times New Roman"/>
          <w:sz w:val="19"/>
          <w:szCs w:val="19"/>
          <w:color w:val="auto"/>
        </w:rPr>
        <w:t>In addition, even if such clinical studies are successfully completed, we cannot guarantee that FDA or foreign regulatory authorities will interpret the results as we do, and more studies could be required before we submit our product candidates for approval. To the extent that the results of the studies are not satisfactory to FDA or foreign regulatory authorities for support of a marketing application, we may be required to expend significant resources, which may not be available to us, to conduct additional studies in support of potential approval of our product candidates. Even if regulatory approval is secured for any of our product candidates, the terms of such approval may limit the scope and use of our product candidates, which may also limit its commercial potential.</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The market opportunities for simufilam, if approved, may be smaller than we anticipate.</w:t>
      </w:r>
    </w:p>
    <w:p>
      <w:pPr>
        <w:spacing w:after="0" w:line="231"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If our clinical development programs succeed with respect to simufilam for a particular indication, we would expect to seek regulatory approval of simufilam for such indication. Projections that we calculate as to the number of patients with the indications that we are studying are based on our beliefs and estimates, derived from a variety of outside sources, including scientific literature, patient foundations and market research. Our projections may prove to be incorrect. The actual number of patients for a particular indication may turn out to be lower than expected. Additionally, the potential patient population for our current programs or future product candidates may be limited. Even if we obtain regulatory approval and capture significant market share for any product candidate, the potential target populations may be smaller than anticipated, and we may never achieve profitability without obtaining marketing approval for additional indications.</w:t>
      </w:r>
    </w:p>
    <w:p>
      <w:pPr>
        <w:spacing w:after="0" w:line="191"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and scientific change, and there is a possibility that additional competitors may achieve regulatory approval before us or develop therapies that are safer, more advanced, or more effective than ours, any of which may harm our business operations.</w:t>
      </w:r>
    </w:p>
    <w:p>
      <w:pPr>
        <w:spacing w:after="0" w:line="180"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Drug discovery and development is highly competitive. Moreover, the central nervous system disorders field is characterized by intense and increasing competition, and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Several pharmaceutical and biotechnology companies are currently pursuing the development of products for the treatment of central nervous system disorders, including TSC-related epilepsy. Many of these current or potential competitors, either alone or with their strategic partners, have significantly greater financial resources and expertise in research and development, manufacturing, preclinical testing, conducting clinical studies, obtaining regulatory approvals, and marketing approved products than we do.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37 / 117</w:t>
      </w:r>
    </w:p>
    <w:p>
      <w:pPr>
        <w:sectPr>
          <w:pgSz w:w="12240" w:h="15840" w:orient="portrait"/>
          <w:cols w:equalWidth="0" w:num="1">
            <w:col w:w="10820"/>
          </w:cols>
          <w:pgMar w:left="700" w:top="788" w:right="720" w:bottom="0" w:gutter="0" w:footer="0" w:header="0"/>
        </w:sectPr>
      </w:pPr>
    </w:p>
    <w:bookmarkStart w:id="37" w:name="page38"/>
    <w:bookmarkEnd w:id="37"/>
    <w:p>
      <w:pPr>
        <w:jc w:val="both"/>
        <w:ind w:left="20" w:firstLine="360"/>
        <w:spacing w:after="0" w:line="259" w:lineRule="auto"/>
        <w:rPr>
          <w:sz w:val="20"/>
          <w:szCs w:val="20"/>
          <w:color w:val="auto"/>
        </w:rPr>
      </w:pPr>
      <w:r>
        <w:rPr>
          <w:rFonts w:ascii="Times New Roman" w:cs="Times New Roman" w:eastAsia="Times New Roman" w:hAnsi="Times New Roman"/>
          <w:sz w:val="19"/>
          <w:szCs w:val="19"/>
          <w:color w:val="auto"/>
        </w:rPr>
        <w:t>Our commercial opportunity could be reduced or eliminated if other competitors develop and commercialize products that are safer, are more effective, have fewer or less severe side effects, are more convenient, achieve greater acceptance among physicians and patients, or are less expensive than any products that we may develop. Furthermore, currently approved products could be discovered to have application for treatment of neurodegenerative disease indications, which could give such products significant advantages over any of our product candidates. Competitors may also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83"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 and Other Legal Compliance Matters</w:t>
      </w:r>
    </w:p>
    <w:p>
      <w:pPr>
        <w:spacing w:after="0" w:line="235"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financial condition and operating results could be adversely impacted by unfavorable results of legal proceedings, government investigations or allegations and other claims.</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We are, and may in the future be, subject to various investigations and legal proceedings.</w:t>
      </w:r>
    </w:p>
    <w:p>
      <w:pPr>
        <w:spacing w:after="0" w:line="231"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 xml:space="preserve">In recent years, there has been a trend of increasing government investigations, legal proceedings and law enforcement activities against companies, executives and others operating in our industry, including those arising from whistleblower programs operated by the SEC and DOJ and the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provisions of the False Claims Act.</w:t>
      </w:r>
    </w:p>
    <w:p>
      <w:pPr>
        <w:spacing w:after="0" w:line="178"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We are currently managing civil claims under federal and state laws, relating to and/or arising out of research and development of our product candidates, including securities disclosures and other aspects of our business. For additional information regarding legal proceedings, see “Notes to Consolidated Financial Statements—Contingencies”. New claims or inquiries may arise in the future.</w:t>
      </w:r>
    </w:p>
    <w:p>
      <w:pPr>
        <w:spacing w:after="0" w:line="180"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In response to such legal proceedings, we have established a comprehensive document retention policy that strictly governs how we handle, store and protect our documents and data. Failure to comply with our document retention policy would expose us to risk of enforcement actions and penalties under applicable laws.</w:t>
      </w:r>
    </w:p>
    <w:p>
      <w:pPr>
        <w:spacing w:after="0" w:line="180"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Legal proceedings are inherently unpredictable, and large judgments or penalties sometimes occur. As a consequence, we may in the future incur judgments or penalties that could involve large cash payments, including the potential repayment of amounts allegedly obtained improperly and other penalties, including enhanced damages. For example, the Company paid a civil monetary penalty of $40 million in November 2024 as part of a settlement with the SEC resolving the SEC investigation of the Company’s disclosures regarding its Phase 2b Study and related matters. In addition, the Company has recently agreed to pay $31.25 million to settle certain securities litigation. While we maintain insurance coverage for certain types of claims, such insurance coverage may be insufficient to cover all losses or all types of claims that may arise.</w:t>
      </w:r>
    </w:p>
    <w:p>
      <w:pPr>
        <w:spacing w:after="0" w:line="189"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In addition, such proceedings against us or against third parties with whom we collaborate or otherwise do business may affect our reputation, inhibit our ability to raise fund in the capital markets, create a risk of potential exclusion from government reimbursement or grant programs and may lead to additional civil litigation. Even meritless claims could subject us to adverse publicity, hinder us from securing insurance coverage in the future or require us to incur significant legal costs. As a result, having taken into account all relevant factors, we may in the future enter into settlements of such claims without bringing them to final legal adjudication by courts or other such bodies, despite having potentially significant defenses against them, in order to limit the risks they pose to our business and reputation. Such settlements may require us to pay significant sums of money and to enter into corporate integrity or similar agreements intended to regulate company behavior for a period of years, which can be costly to operate under.</w:t>
      </w:r>
    </w:p>
    <w:p>
      <w:pPr>
        <w:spacing w:after="0" w:line="194"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As a result, significant claims or legal proceedings to which we are a party, any judgments or settlements against us or involving third parties associated with us relating to such claims or proceedings, and any accruals that we may take with respect to potential judgments or settlements, could have a material adverse impact on our business, financial condition or results of operations, as well as on our reputation.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38 / 117</w:t>
      </w:r>
    </w:p>
    <w:p>
      <w:pPr>
        <w:sectPr>
          <w:pgSz w:w="12240" w:h="15840" w:orient="portrait"/>
          <w:cols w:equalWidth="0" w:num="1">
            <w:col w:w="10820"/>
          </w:cols>
          <w:pgMar w:left="700" w:top="788" w:right="720"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future litigation involving us could be costly and time-consuming to defend.</w:t>
      </w:r>
    </w:p>
    <w:p>
      <w:pPr>
        <w:spacing w:after="0" w:line="22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Innovative drug development is highly litigious, and we may, from time to time, become subject to or involved in additional legal proceedings, claims and allegations that arise in the ordinary course of business or pursuant to governmental or regulatory enforcement activity. Regardless of merit, any lawsuits against or involving us, individually or in the aggregate, may have a material adverse effect on our business, financial condition, results of operations or cash flows. In addition, any litigation to which we subsequently become a party might result in substantial costs and divert management's attention, time and resources, which might seriously harm our business, financial condition, results of operations and cash flows. Our insurance policies might not cover such claims, might not provide sufficient payments to cover all of the costs to resolve one or more such claims, and might not continue to be available on terms acceptable to us. In particular, any claim could result in potential liability for us if the claim is outside the scope of the indemnification agreement we have with our third- party partners, or our third-party partners do not abide by the indemnification agreement as required, or the liability exceeds the amount of any applicable indemnification limits or available insurance coverage. A claim brought against us that is uninsured or underinsured could result in unanticipated costs and could have a material adverse effect on our financial condition, results of operations, cash flows or reputation.</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ultimately unable to file for and obtain regulatory approval for our product candidates, we will be unable to generate product revenue, and our business will be substantially harmed.</w:t>
      </w:r>
    </w:p>
    <w:p>
      <w:pPr>
        <w:spacing w:after="0" w:line="16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19"/>
          <w:szCs w:val="19"/>
          <w:color w:val="auto"/>
        </w:rPr>
        <w:t>The time required to obtain approval by FDA and comparable foreign regulatory authorities is unpredictable, typically takes many years following the commencement of clinical studies,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obtained regulatory approval for any product candidate and it is possible that none of our existing product candidates or any product candidates we may seek to develop in the future will ever obtain regulatory approval.</w:t>
      </w:r>
    </w:p>
    <w:p>
      <w:pPr>
        <w:spacing w:after="0" w:line="183"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Applications for our product candidates could fail to receive regulatory approval in an initial or subsequent indication for many reasons, including but not limited to the following:</w:t>
      </w:r>
    </w:p>
    <w:p>
      <w:pPr>
        <w:spacing w:after="0" w:line="163" w:lineRule="exact"/>
        <w:rPr>
          <w:sz w:val="20"/>
          <w:szCs w:val="20"/>
          <w:color w:val="auto"/>
        </w:rPr>
      </w:pPr>
    </w:p>
    <w:p>
      <w:pPr>
        <w:ind w:left="740" w:hanging="370"/>
        <w:spacing w:after="0" w:line="258"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or comparable foreign regulatory authorities may disagree with the design, implementation, or results of our clinical studies;</w:t>
      </w:r>
    </w:p>
    <w:p>
      <w:pPr>
        <w:spacing w:after="0" w:line="1" w:lineRule="exact"/>
        <w:rPr>
          <w:rFonts w:ascii="Times New Roman" w:cs="Times New Roman" w:eastAsia="Times New Roman" w:hAnsi="Times New Roman"/>
          <w:sz w:val="20"/>
          <w:szCs w:val="20"/>
          <w:color w:val="auto"/>
        </w:rPr>
      </w:pPr>
    </w:p>
    <w:p>
      <w:pPr>
        <w:jc w:val="both"/>
        <w:ind w:left="740" w:hanging="370"/>
        <w:spacing w:after="0" w:line="243"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 w:lineRule="exact"/>
        <w:rPr>
          <w:rFonts w:ascii="Times New Roman" w:cs="Times New Roman" w:eastAsia="Times New Roman" w:hAnsi="Times New Roman"/>
          <w:sz w:val="20"/>
          <w:szCs w:val="20"/>
          <w:color w:val="auto"/>
        </w:rPr>
      </w:pPr>
    </w:p>
    <w:p>
      <w:pPr>
        <w:ind w:left="740" w:hanging="370"/>
        <w:spacing w:after="0" w:line="245"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population studied in the clinical program may not be sufficiently broad or representative to assure efficacy and safety in the full population for which we seek approval;</w:t>
      </w:r>
    </w:p>
    <w:p>
      <w:pPr>
        <w:ind w:left="740" w:hanging="370"/>
        <w:spacing w:after="0" w:line="245"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to FDA or comparable foreign regulatory authorities that a product candidate’s risk-benefit ratio when compared to the standard of care is acceptable;</w:t>
      </w:r>
    </w:p>
    <w:p>
      <w:pPr>
        <w:ind w:left="740" w:right="20" w:hanging="370"/>
        <w:spacing w:after="0" w:line="244"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or comparable foreign regulatory authorities may disagree with our interpretation of data from preclinical studies or clinical studies;</w:t>
      </w:r>
    </w:p>
    <w:p>
      <w:pPr>
        <w:ind w:left="740" w:hanging="370"/>
        <w:spacing w:after="0" w:line="245"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collected from clinical studies of our product candidates may not be sufficient to support the submission of a new drug application (NDA), or other submission or to obtain regulatory approval in the United States or elsewhere;</w:t>
      </w:r>
    </w:p>
    <w:p>
      <w:pPr>
        <w:ind w:left="740" w:right="20" w:hanging="370"/>
        <w:spacing w:after="0" w:line="245"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or comparable foreign regulatory authorities may fail to approve the manufacturing processes, test procedures, and specifications, or facilities of third-party manufacturers with which we contract for clinical and commercial supplies; and</w:t>
      </w:r>
    </w:p>
    <w:p>
      <w:pPr>
        <w:ind w:left="740" w:hanging="370"/>
        <w:spacing w:after="0" w:line="250"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policies or regulations of FDA or comparable foreign regulatory authorities may significantly change in a manner rendering our clinical data insufficient for approval.</w:t>
      </w:r>
    </w:p>
    <w:p>
      <w:pPr>
        <w:spacing w:after="0" w:line="19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This lengthy approval process, as well as the unpredictability of the results of clinical studies, may result in our failing to obtain regulatory approval to market any of our product candidates, which would significantly harm our business, results of operations, and growth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39 / 117</w:t>
      </w:r>
    </w:p>
    <w:p>
      <w:pPr>
        <w:sectPr>
          <w:pgSz w:w="12240" w:h="15840" w:orient="portrait"/>
          <w:cols w:equalWidth="0" w:num="1">
            <w:col w:w="10800"/>
          </w:cols>
          <w:pgMar w:left="720" w:top="788" w:right="720"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Our application to register our new corporate name as a trademark may be denied, which could adversely affect our business.</w:t>
      </w:r>
    </w:p>
    <w:p>
      <w:pPr>
        <w:spacing w:after="0" w:line="22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have applied to register our new corporate name, Filana Therapeutics, as a trademark, but there can be no assurance that the United States Patent and Trademark Office (USPTO) will approve the application. If registration is denied, we may be unable to obtain the scope of trademark protection we desire for our corporate name, which could limit our ability to prevent third parties from using confusingly similar names or marks. A denial could also require us to incur additional costs to pursue alternative branding strategies, enforce unregistered rights, or consider further changes to our corporate name or branding, any of which could adversely affect our business, results of operations, or reputation.</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market and promote our product candidates will be determined and limited by FDA-approved labeling.</w:t>
      </w:r>
    </w:p>
    <w:p>
      <w:pPr>
        <w:spacing w:after="0" w:line="231"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 commercial success of our product candidates will depend upon our ability to obtain FDA-approved labeling effectively describing their features. If a product receives regulatory approval, the approval may be significantly limited to specific disease stages, patient populations and dosages, or the indications for use may otherwise be limited, which could restrict the availability of the product. Further, the FDA may require that certain contraindications, warnings or precautions be included in the product labeling or may condition the approval of the NDA on other changes to the proposed labeling or a commitment to conduct one or more post-market studies or clinical trials. For example, the FDA may require Phase 4 testing which involves clinical trials designed to further assess a drug’s safety and effectiveness.</w:t>
      </w:r>
    </w:p>
    <w:p>
      <w:pPr>
        <w:spacing w:after="0" w:line="18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failure to achieve FDA approval of product labeling containing appropriate information will prevent us from advertising and promoting the key features of our product candidates in order to differentiate them from other similar products. On the other hand, limitations required by the FDA for the product labeling of our product candidates may restrict the patient populations to which our product candidate is available. Either of these results would make our products less competitive in the market the commercial value of the product.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The FDA may change the statutory requirements for drug approval.</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FDA Guidances for Industry are non-binding policy documents that are issued by FDA from time to time to assist sponsors, such as our Company, with the clinical development of drug candidates. Even though such guidance documents do not set legal standards or impose binding requirements they are nonetheless broadly followed by sponsors, including us. In addition, sponsors who adhere in good faith with earlier guidance documents have no assurance or recourse against enforcement actions if the guidance documents are later replaced with conflicting guidance. We have relied heavily on current FDA guidance and meetings with the FDA to advance simufilam through the drug development process. Any future changes to existing FDA Guidance for Industry for indications that we are pursuing may have a material adverse effect on our business, may add significant time, cost or complexity to our drug development program for simufilam, or could cause us to cease or delay development of some or all our product candidates.</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addition, changes in FDA regulations, statutes or the interpretation of existing regulations and statutes could impact our business by requiring, for example: (i) changes to our manufacturing arrangements for simufilam; (ii) additions or modifications to product labeling, if and when our product candidates are approved for sale; (iii) the recall or discontinuation of our product candidates from investigational clinical sites; or (iv) additional record-keeping requirements. If any such changes were to be imposed, they may have a material adverse effect on our business, may add significant time, cost or complexity to our drug development program for simufilam, or could cause us to cease or delay development of some or all our product candidates.</w:t>
      </w:r>
    </w:p>
    <w:p>
      <w:pPr>
        <w:spacing w:after="0" w:line="190"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60" w:lineRule="exact"/>
        <w:rPr>
          <w:sz w:val="20"/>
          <w:szCs w:val="20"/>
          <w:color w:val="auto"/>
        </w:rPr>
      </w:pPr>
    </w:p>
    <w:p>
      <w:pPr>
        <w:jc w:val="both"/>
        <w:ind w:left="20" w:firstLine="360"/>
        <w:spacing w:after="0" w:line="274" w:lineRule="auto"/>
        <w:rPr>
          <w:sz w:val="20"/>
          <w:szCs w:val="20"/>
          <w:color w:val="auto"/>
        </w:rPr>
      </w:pPr>
      <w:r>
        <w:rPr>
          <w:rFonts w:ascii="Times New Roman" w:cs="Times New Roman" w:eastAsia="Times New Roman" w:hAnsi="Times New Roman"/>
          <w:sz w:val="20"/>
          <w:szCs w:val="20"/>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w:t>
      </w:r>
    </w:p>
    <w:p>
      <w:pPr>
        <w:spacing w:after="0" w:line="169" w:lineRule="exact"/>
        <w:rPr>
          <w:sz w:val="20"/>
          <w:szCs w:val="20"/>
          <w:color w:val="auto"/>
        </w:rPr>
      </w:pPr>
    </w:p>
    <w:p>
      <w:pPr>
        <w:ind w:left="760" w:hanging="370"/>
        <w:spacing w:after="0"/>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laws of FDA and other comparable foreign regulatory authorities;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true, complete, and accurate information to FDA and other comparable foreign regulatory authorities;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manufacturing standards we have established;</w:t>
      </w:r>
    </w:p>
    <w:p>
      <w:pPr>
        <w:spacing w:after="0" w:line="58"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healthcare fraud and abuse laws in the U.S. and similar foreign fraudulent misconduct laws;</w:t>
      </w:r>
    </w:p>
    <w:p>
      <w:pPr>
        <w:spacing w:after="0" w:line="35" w:lineRule="exact"/>
        <w:rPr>
          <w:rFonts w:ascii="Times New Roman" w:cs="Times New Roman" w:eastAsia="Times New Roman" w:hAnsi="Times New Roman"/>
          <w:sz w:val="20"/>
          <w:szCs w:val="20"/>
          <w:color w:val="auto"/>
        </w:rPr>
      </w:pPr>
    </w:p>
    <w:p>
      <w:pPr>
        <w:ind w:left="760" w:hanging="370"/>
        <w:spacing w:after="0" w:line="182" w:lineRule="auto"/>
        <w:tabs>
          <w:tab w:leader="none" w:pos="760" w:val="left"/>
        </w:tabs>
        <w:numPr>
          <w:ilvl w:val="0"/>
          <w:numId w:val="22"/>
        </w:numPr>
        <w:rPr>
          <w:rFonts w:ascii="Times New Roman" w:cs="Times New Roman" w:eastAsia="Times New Roman" w:hAnsi="Times New Roman"/>
          <w:sz w:val="37"/>
          <w:szCs w:val="37"/>
          <w:color w:val="auto"/>
          <w:vertAlign w:val="superscript"/>
        </w:rPr>
      </w:pPr>
      <w:r>
        <w:rPr>
          <w:rFonts w:ascii="Times New Roman" w:cs="Times New Roman" w:eastAsia="Times New Roman" w:hAnsi="Times New Roman"/>
          <w:sz w:val="22"/>
          <w:szCs w:val="22"/>
          <w:color w:val="auto"/>
        </w:rPr>
        <w:t>comply with laws governing the improper use of information obtained in the course of patient</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4"/>
          <w:szCs w:val="24"/>
          <w:color w:val="auto"/>
        </w:rPr>
        <w:t>recruitment for clinical studies;</w:t>
      </w:r>
    </w:p>
    <w:p>
      <w:pPr>
        <w:spacing w:after="0" w:line="10" w:lineRule="exact"/>
        <w:rPr>
          <w:sz w:val="20"/>
          <w:szCs w:val="20"/>
          <w:color w:val="auto"/>
        </w:rPr>
      </w:pPr>
    </w:p>
    <w:p>
      <w:pPr>
        <w:ind w:left="760" w:hanging="370"/>
        <w:spacing w:after="0"/>
        <w:tabs>
          <w:tab w:leader="none" w:pos="760"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report financial or clinical information or data accurately or to disclose unauthorized activities to us; or</w:t>
      </w:r>
    </w:p>
    <w:p>
      <w:pPr>
        <w:spacing w:after="0" w:line="9" w:lineRule="exact"/>
        <w:rPr>
          <w:rFonts w:ascii="Times New Roman" w:cs="Times New Roman" w:eastAsia="Times New Roman" w:hAnsi="Times New Roman"/>
          <w:sz w:val="24"/>
          <w:szCs w:val="24"/>
          <w:color w:val="auto"/>
        </w:rPr>
      </w:pPr>
    </w:p>
    <w:p>
      <w:pPr>
        <w:ind w:left="760" w:hanging="370"/>
        <w:spacing w:after="0"/>
        <w:tabs>
          <w:tab w:leader="none" w:pos="7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comply with applicable criminal, civil or regulatory laws governing their conduct.</w:t>
      </w:r>
    </w:p>
    <w:p>
      <w:pPr>
        <w:spacing w:after="0" w:line="253" w:lineRule="exact"/>
        <w:rPr>
          <w:sz w:val="20"/>
          <w:szCs w:val="20"/>
          <w:color w:val="auto"/>
        </w:rPr>
      </w:pPr>
    </w:p>
    <w:p>
      <w:pPr>
        <w:ind w:left="20" w:firstLine="360"/>
        <w:spacing w:after="0" w:line="298" w:lineRule="auto"/>
        <w:rPr>
          <w:sz w:val="20"/>
          <w:szCs w:val="20"/>
          <w:color w:val="auto"/>
        </w:rPr>
      </w:pPr>
      <w:r>
        <w:rPr>
          <w:rFonts w:ascii="Times New Roman" w:cs="Times New Roman" w:eastAsia="Times New Roman" w:hAnsi="Times New Roman"/>
          <w:sz w:val="19"/>
          <w:szCs w:val="19"/>
          <w:color w:val="auto"/>
        </w:rPr>
        <w:t>It is not always possible to identify and deter misconduct by employees and third parties, and the precautions we take to detect and prevent this activity may not be effective in controlling unknown or unmanaged risks or losses or in protecting us from governmental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40 / 117</w:t>
      </w:r>
    </w:p>
    <w:p>
      <w:pPr>
        <w:sectPr>
          <w:pgSz w:w="12240" w:h="15840" w:orient="portrait"/>
          <w:cols w:equalWidth="0" w:num="1">
            <w:col w:w="10820"/>
          </w:cols>
          <w:pgMar w:left="700" w:top="788" w:right="720" w:bottom="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20"/>
          <w:szCs w:val="20"/>
          <w:color w:val="auto"/>
        </w:rPr>
        <w:t>investigations or other actions or lawsuits stemming from a failure to comply with such laws. If any such actions are instituted against us, and we are not successful in defending ourselves or asserting our rights, those actions could have a significant impact on our business, including reputational damage and the imposition of significant fines or other sanctions.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or stay in compliance with the complex set of federal, state, local and foreign laws and regulations that apply to our business, we could suffer severe consequences that could materially and adversely affect our operating results and financial condition.</w:t>
      </w:r>
    </w:p>
    <w:p>
      <w:pPr>
        <w:spacing w:after="0" w:line="175"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are obligated to comply with the laws of all countries and jurisdictions in which we operate. These laws cover an extremely wide and growing range of activities. Such legal requirements can vary from country to country, and new requirements may be imposed on us from time to time as government and public expectations regarding acceptable corporate behavior change, and enforcement authorities modify interpretations of legal and regulatory provisions and change enforcement priorities. In addition, we rely on numerous associates, independent contractors, consultants, commercial partners and vendors who may put our reputation, business and operations at risk of material impairment if they engage, or are alleged to engage, in misconduct or other improper activities, including noncompliance with regulatory standards and requirements, in violation of such laws and public expectations.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5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41 / 117</w:t>
      </w:r>
    </w:p>
    <w:p>
      <w:pPr>
        <w:sectPr>
          <w:pgSz w:w="12240" w:h="15840" w:orient="portrait"/>
          <w:cols w:equalWidth="0" w:num="1">
            <w:col w:w="10800"/>
          </w:cols>
          <w:pgMar w:left="720" w:top="557" w:right="720" w:bottom="0" w:gutter="0" w:footer="0" w:header="0"/>
          <w:type w:val="continuous"/>
        </w:sectPr>
      </w:pPr>
    </w:p>
    <w:bookmarkStart w:id="41" w:name="page42"/>
    <w:bookmarkEnd w:id="41"/>
    <w:p>
      <w:pPr>
        <w:ind w:left="360"/>
        <w:spacing w:after="0"/>
        <w:rPr>
          <w:sz w:val="20"/>
          <w:szCs w:val="20"/>
          <w:color w:val="auto"/>
        </w:rPr>
      </w:pPr>
      <w:r>
        <w:rPr>
          <w:rFonts w:ascii="Times New Roman" w:cs="Times New Roman" w:eastAsia="Times New Roman" w:hAnsi="Times New Roman"/>
          <w:sz w:val="20"/>
          <w:szCs w:val="20"/>
          <w:color w:val="auto"/>
        </w:rPr>
        <w:t>The laws and regulations that govern our operations include, among others:</w:t>
      </w:r>
    </w:p>
    <w:p>
      <w:pPr>
        <w:spacing w:after="0" w:line="233" w:lineRule="exact"/>
        <w:rPr>
          <w:sz w:val="20"/>
          <w:szCs w:val="20"/>
          <w:color w:val="auto"/>
        </w:rPr>
      </w:pPr>
    </w:p>
    <w:p>
      <w:pPr>
        <w:jc w:val="both"/>
        <w:ind w:left="740" w:hanging="370"/>
        <w:spacing w:after="0" w:line="252"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Laboratory Improvement Amendments (CLIA) of 1988, which are United States federal regulatory standards that apply to all clinical laboratory testing performed on humans in the United States, requires that laboratories obtain certification from the federal government, and state licensure laws;</w:t>
      </w:r>
    </w:p>
    <w:p>
      <w:pPr>
        <w:spacing w:after="0" w:line="2"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laws and regulations , including those relating to off-label marketing;</w:t>
      </w:r>
    </w:p>
    <w:p>
      <w:pPr>
        <w:spacing w:after="0" w:line="30" w:lineRule="exact"/>
        <w:rPr>
          <w:rFonts w:ascii="Times New Roman" w:cs="Times New Roman" w:eastAsia="Times New Roman" w:hAnsi="Times New Roman"/>
          <w:sz w:val="20"/>
          <w:szCs w:val="20"/>
          <w:color w:val="auto"/>
        </w:rPr>
      </w:pPr>
    </w:p>
    <w:p>
      <w:pPr>
        <w:jc w:val="both"/>
        <w:ind w:left="740" w:right="20" w:hanging="370"/>
        <w:spacing w:after="0" w:line="249"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Health Insurance Portability and Accountability Act (HIPAA), which imposes comprehensive federal standards with respect to the privacy and security of protected health information and requirements for the use of certain standardized electronic transactions, including penalties for violators, enforcement authority to state attorneys general and requirements for breach notification;</w:t>
      </w:r>
    </w:p>
    <w:p>
      <w:pPr>
        <w:spacing w:after="0" w:line="2" w:lineRule="exact"/>
        <w:rPr>
          <w:rFonts w:ascii="Times New Roman" w:cs="Times New Roman" w:eastAsia="Times New Roman" w:hAnsi="Times New Roman"/>
          <w:sz w:val="20"/>
          <w:szCs w:val="20"/>
          <w:color w:val="auto"/>
        </w:rPr>
      </w:pPr>
    </w:p>
    <w:p>
      <w:pPr>
        <w:ind w:left="740" w:hanging="370"/>
        <w:spacing w:after="0" w:line="244"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regulating testing and protecting the privacy of test results, as well as state laws protecting the privacy and security of health information and personal data and mandating reporting of breaches to affected individuals and state regulators;</w:t>
      </w:r>
    </w:p>
    <w:p>
      <w:pPr>
        <w:jc w:val="both"/>
        <w:ind w:left="740" w:hanging="370"/>
        <w:spacing w:after="0" w:line="242"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law, or the Anti-Kickback Statute, which prohibits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3" w:lineRule="exact"/>
        <w:rPr>
          <w:rFonts w:ascii="Times New Roman" w:cs="Times New Roman" w:eastAsia="Times New Roman" w:hAnsi="Times New Roman"/>
          <w:sz w:val="20"/>
          <w:szCs w:val="20"/>
          <w:color w:val="auto"/>
        </w:rPr>
      </w:pPr>
    </w:p>
    <w:p>
      <w:pPr>
        <w:jc w:val="both"/>
        <w:ind w:left="740" w:hanging="370"/>
        <w:spacing w:after="0" w:line="242"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federal False Claims Act (FCA), which imposes liability on any person or entity that, among other things, knowingly presents, or causes to be presented, a false or fraudulent claim for payment to the federal government and which, under its </w:t>
      </w:r>
      <w:r>
        <w:rPr>
          <w:rFonts w:ascii="Times New Roman" w:cs="Times New Roman" w:eastAsia="Times New Roman" w:hAnsi="Times New Roman"/>
          <w:sz w:val="20"/>
          <w:szCs w:val="20"/>
          <w:i w:val="1"/>
          <w:iCs w:val="1"/>
          <w:color w:val="auto"/>
        </w:rPr>
        <w:t>qui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tam </w:t>
      </w:r>
      <w:r>
        <w:rPr>
          <w:rFonts w:ascii="Times New Roman" w:cs="Times New Roman" w:eastAsia="Times New Roman" w:hAnsi="Times New Roman"/>
          <w:sz w:val="20"/>
          <w:szCs w:val="20"/>
          <w:color w:val="auto"/>
        </w:rPr>
        <w:t>provisions, allows private litigants (relators) to file claims under seal on behalf of the government and to receive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percentage of recoveries obtained as a result;</w:t>
      </w:r>
    </w:p>
    <w:p>
      <w:pPr>
        <w:spacing w:after="0" w:line="1" w:lineRule="exact"/>
        <w:rPr>
          <w:rFonts w:ascii="Times New Roman" w:cs="Times New Roman" w:eastAsia="Times New Roman" w:hAnsi="Times New Roman"/>
          <w:sz w:val="20"/>
          <w:szCs w:val="20"/>
          <w:color w:val="auto"/>
        </w:rPr>
      </w:pPr>
    </w:p>
    <w:p>
      <w:pPr>
        <w:jc w:val="both"/>
        <w:ind w:left="740" w:hanging="370"/>
        <w:spacing w:after="0" w:line="242"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3" w:lineRule="exact"/>
        <w:rPr>
          <w:rFonts w:ascii="Times New Roman" w:cs="Times New Roman" w:eastAsia="Times New Roman" w:hAnsi="Times New Roman"/>
          <w:sz w:val="20"/>
          <w:szCs w:val="20"/>
          <w:color w:val="auto"/>
        </w:rPr>
      </w:pPr>
    </w:p>
    <w:p>
      <w:pPr>
        <w:ind w:left="740" w:hanging="370"/>
        <w:spacing w:after="0" w:line="245"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federal and state fraud and abuse laws, such as anti-kickback laws, prohibitions on self-referral, and false claims acts, which may extend to services reimbursable by any third-party payor, including private insurers;</w:t>
      </w:r>
    </w:p>
    <w:p>
      <w:pPr>
        <w:jc w:val="both"/>
        <w:ind w:left="740" w:hanging="370"/>
        <w:spacing w:after="0" w:line="242"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Foreign Corrupt Practices Act (FCPA) and other worldwide anti-bribery laws, including those that prohibit companies and their intermediaries from making improper payments to government officials or other third parties for the purpose of obtaining or retaining business, and laws that prohibit commercial bribery;</w:t>
      </w:r>
    </w:p>
    <w:p>
      <w:pPr>
        <w:spacing w:after="0" w:line="2"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import, export control and economic sanctions laws and regulations in the U.S. and elsewhere;</w:t>
      </w:r>
    </w:p>
    <w:p>
      <w:pPr>
        <w:spacing w:after="0" w:line="30" w:lineRule="exact"/>
        <w:rPr>
          <w:rFonts w:ascii="Times New Roman" w:cs="Times New Roman" w:eastAsia="Times New Roman" w:hAnsi="Times New Roman"/>
          <w:sz w:val="20"/>
          <w:szCs w:val="20"/>
          <w:color w:val="auto"/>
        </w:rPr>
      </w:pPr>
    </w:p>
    <w:p>
      <w:pPr>
        <w:ind w:left="740" w:hanging="370"/>
        <w:spacing w:after="0" w:line="258"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securities laws, including provisions of the Exchange Act and Dodd-Frank Act under which whistleblowers that report alleged violations of wrongdoing can obtain up to 30% of related recoveries;</w:t>
      </w:r>
    </w:p>
    <w:p>
      <w:pPr>
        <w:spacing w:after="0" w:line="1" w:lineRule="exact"/>
        <w:rPr>
          <w:rFonts w:ascii="Times New Roman" w:cs="Times New Roman" w:eastAsia="Times New Roman" w:hAnsi="Times New Roman"/>
          <w:sz w:val="20"/>
          <w:szCs w:val="20"/>
          <w:color w:val="auto"/>
        </w:rPr>
      </w:pPr>
    </w:p>
    <w:p>
      <w:pPr>
        <w:jc w:val="both"/>
        <w:ind w:left="740" w:hanging="370"/>
        <w:spacing w:after="0" w:line="243"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which requires manufacturers to track and report to the federal government certain payments and other transfers of value made to physicians and teaching hospitals and ownership or investment interests held by physicians and their immediate family members;</w:t>
      </w:r>
    </w:p>
    <w:p>
      <w:pPr>
        <w:spacing w:after="0" w:line="2" w:lineRule="exact"/>
        <w:rPr>
          <w:rFonts w:ascii="Times New Roman" w:cs="Times New Roman" w:eastAsia="Times New Roman" w:hAnsi="Times New Roman"/>
          <w:sz w:val="20"/>
          <w:szCs w:val="20"/>
          <w:color w:val="auto"/>
        </w:rPr>
      </w:pPr>
    </w:p>
    <w:p>
      <w:pPr>
        <w:ind w:left="740" w:hanging="370"/>
        <w:spacing w:after="0" w:line="245" w:lineRule="auto"/>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216 of the federal Protecting Access to Medicare Act of 2014 (PAMA), which requires applicable laboratories to report private payer data in a timely and accurate manner every three years (and in some cases annually);</w:t>
      </w:r>
    </w:p>
    <w:p>
      <w:pPr>
        <w:ind w:left="740" w:hanging="370"/>
        <w:spacing w:after="0"/>
        <w:tabs>
          <w:tab w:leader="none" w:pos="7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laws that impose reporting and other compliance-related requirements; and</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similar foreign laws and regulations that will apply to us in foreign countries in which we may choose to operate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agencies may establish and promulgate usage guidelines that could limit the use of our product candidates.</w:t>
      </w:r>
    </w:p>
    <w:p>
      <w:pPr>
        <w:spacing w:after="0" w:line="22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Government agencies, professional and medical societies, and other groups may establish usage guidelines that apply to our product candidates. These guidelines could address such matters as usage and dose, among other factors. Application of such guidelines could limit the clinical use or commercial appeal of our product candidates.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42 / 117</w:t>
      </w:r>
    </w:p>
    <w:p>
      <w:pPr>
        <w:sectPr>
          <w:pgSz w:w="12240" w:h="15840" w:orient="portrait"/>
          <w:cols w:equalWidth="0" w:num="1">
            <w:col w:w="10800"/>
          </w:cols>
          <w:pgMar w:left="720" w:top="788" w:right="720" w:bottom="0" w:gutter="0" w:footer="0" w:header="0"/>
        </w:sectPr>
      </w:pPr>
    </w:p>
    <w:bookmarkStart w:id="42" w:name="page43"/>
    <w:bookmarkEnd w:id="42"/>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64"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During the conduct of clinical trials, study participants report changes in their health to their doctor, including illnesses, injuries and discomforts. Often, it is not possible to determine whether our product candidate caused these conditions. Regulatory authorities may draw different conclusions and may require us to pause our clinical trials or require additional testing to confirm these determinations, if they occur. In addition, we have not yet completed long-term safety studies with simufilam to determine if this product candidate is safe for humans. Adverse events or other undesirable side effects caused by simufilam could cause us or regulatory authorities to interrupt, delay, or halt clinical studies and could result in a more restrictive label or the delay or denial of regulatory approval by FDA or other comparable foreign regulatory authorities. Drug-related side effects could affect patient recruitment, the ability of enrolled patients to complete the study, and/or result in potential claims.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legal liability associated with clinical trials.</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business requires us to engage in the conduct of clinical studies in human volunteers and in patients in the United States and abroad. There are circumstances under which a participant in one of our clinical trials could impose liability on us. For example, a clinical investigator who is a participant in one of our studies may intentionally or unintentionally deviate from a clinical protocol and cause harm to a clinical trial participant, or a clinical trial participant may seek to compel us to continue to supply drug to them after the completion of a study but prior to FDA approval.</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Claims may be brought against us for negligence, breach of contract, harm, injury or death, or other legal theories based on the nature of a study. Clinical trial liability is a complex and somewhat unsettled area of law and may vary by state and by country where we conduct clinical studies. Furthermore, claims may be brought against us by a clinical investigator, a clinical trial participant, or another party associated with a clinical study, long after the completion of a clinical study. Defense of such actions is a fact -intensive process that could be costly and involve significant time and attention of our management and other resources, may result in monetary liabilities or penalties, and may require us to change our business in an adverse manner.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policies may be inadequate and potentially expose us to unrecoverable risks.</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Although we maintain product liability insurance coverage, such insurance may not be adequate to cover all liabilities that we may incur. We anticipate that we may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Conditions in the insurance markets relating to nearly all areas of traditional corporate insurance change rapidly and may result in higher premium costs, higher policy deductibles and lower coverage limits. For some risks, we may not have or maintain insurance coverage because of cost or availability.</w:t>
      </w:r>
    </w:p>
    <w:p>
      <w:pPr>
        <w:spacing w:after="0" w:line="191"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We are and will be required to maintain product liability insurance pursuant to certain of our 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43 / 117</w:t>
      </w:r>
    </w:p>
    <w:p>
      <w:pPr>
        <w:sectPr>
          <w:pgSz w:w="12240" w:h="15840" w:orient="portrait"/>
          <w:cols w:equalWidth="0" w:num="1">
            <w:col w:w="10800"/>
          </w:cols>
          <w:pgMar w:left="720" w:top="788" w:right="720" w:bottom="0" w:gutter="0" w:footer="0" w:header="0"/>
        </w:sectPr>
      </w:pPr>
    </w:p>
    <w:bookmarkStart w:id="43" w:name="page44"/>
    <w:bookmarkEnd w:id="43"/>
    <w:p>
      <w:pPr>
        <w:jc w:val="both"/>
        <w:ind w:left="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If our product candidates receive regulatory approval, we and our collaborators will be subject to ongoing FDA obligations and continued regulatory review, such as continued safety reporting requirements, and we and our collaborators may also be subject to additional FDA post- marketing obligations or new regulations, all of which may result in significant expense and limit our and our collaborators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ability to commercialize our potential drugs.</w:t>
      </w:r>
    </w:p>
    <w:p>
      <w:pPr>
        <w:spacing w:after="0" w:line="188"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Any regulatory approvals that our product candidates receive may also be subject to limitations on the indicated uses for which the drug may be marketed or contain requirements for potentially costly post-marketing follow-up studies. In addition, if FDA approves any of our product candidates, the labeling, packaging, adverse event reporting, storage, advertising, promotion and record keeping for the drug will be subject to extensive regulatory requirements. The subsequent discovery of previously unknown problems with the drug, including but not limited to adverse events of unanticipated severity or frequency, or the discovery that adverse events previously observed in preclinical research or clinical studies that were believed to be minor actually constitute much more serious problems, may result in restrictions on the marketing of the drug, and could include withdrawal of the drug from the market.</w:t>
      </w:r>
    </w:p>
    <w:p>
      <w:pPr>
        <w:spacing w:after="0" w:line="188"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The FDA’s policies may change, and additional government regulations may be enacted that could prevent or delay regulatory approval of our product candidates. We cannot predict the likelihood, nature or extent of adverse government regulation that may arise from future legislation or administrative action, either in the U.S. or abroad. If we are not able to maintain regulatory compliance, we may be subject to fines, suspension or withdrawal of regulatory approvals, product recalls, seizure of products, operating restrictions and criminal prosecution. Any of these events could prevent us from marketing our products and our business could suffer.</w:t>
      </w:r>
    </w:p>
    <w:p>
      <w:pPr>
        <w:spacing w:after="0" w:line="188"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Enacted and future legislation may increase the difficulty and cost for us to commercialize our product candidates and may reduce the prices we are able to obtain for our product candidates.</w:t>
      </w:r>
    </w:p>
    <w:p>
      <w:pPr>
        <w:spacing w:after="0" w:line="160"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Legislative and regulatory changes and future changes regarding the healthcare system could prevent or delay marketing approval of our product candidates, restrict or regulate post-approval activities or affect our ability to profitably sell any product candidates for which we obtain marketing approval.</w:t>
      </w:r>
    </w:p>
    <w:p>
      <w:pPr>
        <w:spacing w:after="0" w:line="180"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In the U.S., the Medicare Prescription Drug, Improvement, and Modernization Act of 2003 (the “Medicare Modernization Act”) established the Medicare Part D program and provided authority for limiting the number of drugs that will be covered in any therapeutic class thereunder. The Medicare Modernization Act, including its cost reduction initiatives, could limit the coverage and reimbursement rate that we receive for any of our approved products. Private payors may follow Medicare coverage policies and payment limitations in setting their own reimbursement rates resulting in similar limits in payments from private payors.</w:t>
      </w:r>
    </w:p>
    <w:p>
      <w:pPr>
        <w:spacing w:after="0" w:line="187"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Education Reconciliation Act, or collectively, the Affordable Care Act, among other things, imposes a significant annual fee on companies that manufacture or import branded prescription product candidates. It also contains substantial provisions intended to, among other things, broaden access to health insurance, reduce or constrain the growth of health care spending, enhance remedies against healthcare fraud and abuse, add new transparency requirements for the healthcare and health insurance industries, and impose additional health policy reforms, any of which could have a material adverse effect on our business. A significant number of provisions are not yet, or have only recently become, effective, but the Affordable Care Act may result in downward pressure on pharmaceutical pricing, especially under the Medicare program, and may also increase our regulatory burdens and operating costs.</w:t>
      </w:r>
    </w:p>
    <w:p>
      <w:pPr>
        <w:spacing w:after="0" w:line="191"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 Affordable Care Act, as well as other healthcare reform measures that have been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compromise our ability to generate revenue, attain profitability or commercialize our products. The Affordable Care Act is a highly complex piece of legislation that continues to evolve. We do not and cannot understand or anticipate the full impact and potential implications of the Affordable Care Act on our business or on our drugs.</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purported goal of the Inflation Reduction Act (IRA) of 2022 is to lower healthcare costs for Americans, and includes several provisions aimed at reducing drug spending and increasing access to pharmaceuticals. Specifically, the IRA introduces drug-price negotiations by requiring the federal government to negotiate “maximum fair prices” with drug manufacturers for certain brand-name, single-source drugs covered under Medicare Part B and Part D. In addition, the IRA penalizes price increases and expands required discounts on branded, single-source drugs. The IRA is a highly complex piece of legislation that continues to evolve. We do not and cannot understand or anticipate the full impact and potential implications of the IRA on our business or on our drugs, however, we currently believe the IRA may reduce the prices we are able to obtain for our product candidates, if approved in the United States.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44 / 117</w:t>
      </w:r>
    </w:p>
    <w:p>
      <w:pPr>
        <w:sectPr>
          <w:pgSz w:w="12240" w:h="15840" w:orient="portrait"/>
          <w:cols w:equalWidth="0" w:num="1">
            <w:col w:w="10820"/>
          </w:cols>
          <w:pgMar w:left="700" w:top="788" w:right="720" w:bottom="0" w:gutter="0" w:footer="0" w:header="0"/>
        </w:sectPr>
      </w:pPr>
    </w:p>
    <w:bookmarkStart w:id="44" w:name="page45"/>
    <w:bookmarkEnd w:id="44"/>
    <w:p>
      <w:pPr>
        <w:jc w:val="both"/>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Our relationships with customers and payors will be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p>
    <w:p>
      <w:pPr>
        <w:spacing w:after="0" w:line="16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Healthcare providers, physicians and payors play a primary role in the recommendation and prescription of any product candidates for which we may obtain marketing approval. Our current or future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state and foreign healthcare laws and regulations may affect our ability to operate and expose us to areas of risk, including:</w:t>
      </w:r>
    </w:p>
    <w:p>
      <w:pPr>
        <w:spacing w:after="0" w:line="195" w:lineRule="exact"/>
        <w:rPr>
          <w:sz w:val="20"/>
          <w:szCs w:val="20"/>
          <w:color w:val="auto"/>
        </w:rPr>
      </w:pPr>
    </w:p>
    <w:p>
      <w:pPr>
        <w:jc w:val="both"/>
        <w:ind w:left="740" w:hanging="370"/>
        <w:spacing w:after="0" w:line="247"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20"/>
          <w:szCs w:val="20"/>
          <w:color w:val="auto"/>
        </w:rPr>
      </w:pPr>
    </w:p>
    <w:p>
      <w:pPr>
        <w:jc w:val="both"/>
        <w:ind w:left="740" w:hanging="370"/>
        <w:spacing w:after="0" w:line="242"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FCA;</w:t>
      </w:r>
    </w:p>
    <w:p>
      <w:pPr>
        <w:jc w:val="both"/>
        <w:ind w:left="740" w:hanging="370"/>
        <w:spacing w:after="0" w:line="242"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to defraud any healthcare benefit program or specific intent to violate it in order to have committed a violation;</w:t>
      </w:r>
    </w:p>
    <w:p>
      <w:pPr>
        <w:spacing w:after="0" w:line="3" w:lineRule="exact"/>
        <w:rPr>
          <w:rFonts w:ascii="Times New Roman" w:cs="Times New Roman" w:eastAsia="Times New Roman" w:hAnsi="Times New Roman"/>
          <w:sz w:val="20"/>
          <w:szCs w:val="20"/>
          <w:color w:val="auto"/>
        </w:rPr>
      </w:pPr>
    </w:p>
    <w:p>
      <w:pPr>
        <w:jc w:val="both"/>
        <w:ind w:left="740" w:hanging="370"/>
        <w:spacing w:after="0" w:line="241"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4" w:lineRule="exact"/>
        <w:rPr>
          <w:rFonts w:ascii="Times New Roman" w:cs="Times New Roman" w:eastAsia="Times New Roman" w:hAnsi="Times New Roman"/>
          <w:sz w:val="20"/>
          <w:szCs w:val="20"/>
          <w:color w:val="auto"/>
        </w:rPr>
      </w:pPr>
    </w:p>
    <w:p>
      <w:pPr>
        <w:jc w:val="both"/>
        <w:ind w:left="740" w:hanging="370"/>
        <w:spacing w:after="0" w:line="242"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commonly known as the Sunshine Act, as well as other state and foreign laws regulating marketing activities; and</w:t>
      </w:r>
    </w:p>
    <w:p>
      <w:pPr>
        <w:spacing w:after="0" w:line="1" w:lineRule="exact"/>
        <w:rPr>
          <w:rFonts w:ascii="Times New Roman" w:cs="Times New Roman" w:eastAsia="Times New Roman" w:hAnsi="Times New Roman"/>
          <w:sz w:val="20"/>
          <w:szCs w:val="20"/>
          <w:color w:val="auto"/>
        </w:rPr>
      </w:pPr>
    </w:p>
    <w:p>
      <w:pPr>
        <w:jc w:val="both"/>
        <w:ind w:left="740" w:hanging="370"/>
        <w:spacing w:after="0" w:line="241"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foreign equivalents of each of the above laws, including state anti-kickback and false claims laws, which may apply to sales or marketing arrangements and claims involving healthcare items or services reimbursed by non-governmental payors, including private insurers; state laws which require pharmaceutical companies to comply with the pharmaceutical industry's voluntary compliance guidelines and the relevant compliance guidance promulgated by the federal government or otherwise restricting payments that may be made to healthcare providers;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45 / 117</w:t>
      </w:r>
    </w:p>
    <w:p>
      <w:pPr>
        <w:sectPr>
          <w:pgSz w:w="12240" w:h="15840" w:orient="portrait"/>
          <w:cols w:equalWidth="0" w:num="1">
            <w:col w:w="10800"/>
          </w:cols>
          <w:pgMar w:left="720" w:top="788" w:right="720" w:bottom="0" w:gutter="0" w:footer="0" w:header="0"/>
        </w:sectPr>
      </w:pPr>
    </w:p>
    <w:bookmarkStart w:id="45" w:name="page46"/>
    <w:bookmarkEnd w:id="45"/>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Nonetheless,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sufficient patent protection for any product candidates, our competitors could develop and commercialize products similar or identical to ours, and our ability to successfully commercialize any product candidates we may develop may be adversely affected.</w:t>
      </w:r>
    </w:p>
    <w:p>
      <w:pPr>
        <w:spacing w:after="0" w:line="17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protection in the U.S. and other countries with respect to our proprietary product candidates and other technologies we may develop. We seek to protect our proprietary position by filing patent applications in the U.S. and abroad relating to our core programs and product candidates, as well as other technologies that are important to our business. Given that our product candidates are in early or clinical stages of development, our intellectual property portfolio with respect to certain aspects of our product candidates is also at an early stage. We have filed or intend to file patent applications on aspects of our technology and core product candidates; however, there can be no assurance that any such patent applications will issue as granted patents. Furthermore, in some cases, we intend to file only provisional patent applications on certain aspects of our technology and product candidates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199"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core programs and product candidates could have a material adverse effect on our business, financial condition, results of operations, and growth prospects.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46 / 117</w:t>
      </w:r>
    </w:p>
    <w:p>
      <w:pPr>
        <w:sectPr>
          <w:pgSz w:w="12240" w:h="15840" w:orient="portrait"/>
          <w:cols w:equalWidth="0" w:num="1">
            <w:col w:w="10800"/>
          </w:cols>
          <w:pgMar w:left="720" w:top="788" w:right="720" w:bottom="0" w:gutter="0" w:footer="0" w:header="0"/>
        </w:sectPr>
      </w:pPr>
    </w:p>
    <w:bookmarkStart w:id="46" w:name="page47"/>
    <w:bookmarkEnd w:id="46"/>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 candidates and other technologies could be found invalid or unenforceable if challenged in court or before administrative bodies in the U.S. or abroad.</w:t>
      </w:r>
    </w:p>
    <w:p>
      <w:pPr>
        <w:spacing w:after="0" w:line="164"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 xml:space="preserve">If we initiated legal proceedings against a third party to enforce a patent covering our product candidates or other technologies, the defendant could counterclaim that the asserted patent is invalid or unenforceable. In patent litigation in the U.S. and in other jurisdictions,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U.S. or abroad, even outside the context of litigation. Such mechanisms include re-examination,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w:t>
      </w:r>
    </w:p>
    <w:p>
      <w:pPr>
        <w:spacing w:after="0" w:line="20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any product candidates we may develop, our business may be materially harmed.</w:t>
      </w:r>
    </w:p>
    <w:p>
      <w:pPr>
        <w:spacing w:after="0" w:line="160" w:lineRule="exact"/>
        <w:rPr>
          <w:sz w:val="20"/>
          <w:szCs w:val="20"/>
          <w:color w:val="auto"/>
        </w:rPr>
      </w:pPr>
    </w:p>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(Hatch-Waxman Act). The Hatch-Waxman Act permits a patent term extension of up to five years as compensation for patent term lost during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23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 -how can be difficult to protect. We expect our trade secrets and know -how to over time be disseminated within the industry through independent development, the publication of journal articles describing the methodology, and the movement of personnel from academic to industry scientific positions.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47 / 117</w:t>
      </w:r>
    </w:p>
    <w:p>
      <w:pPr>
        <w:sectPr>
          <w:pgSz w:w="12240" w:h="15840" w:orient="portrait"/>
          <w:cols w:equalWidth="0" w:num="1">
            <w:col w:w="10800"/>
          </w:cols>
          <w:pgMar w:left="720" w:top="788" w:right="720" w:bottom="0" w:gutter="0" w:footer="0" w:header="0"/>
        </w:sectPr>
      </w:pPr>
    </w:p>
    <w:bookmarkStart w:id="47" w:name="page48"/>
    <w:bookmarkEnd w:id="47"/>
    <w:p>
      <w:pPr>
        <w:jc w:val="both"/>
        <w:ind w:firstLine="360"/>
        <w:spacing w:after="0" w:line="256" w:lineRule="auto"/>
        <w:rPr>
          <w:sz w:val="20"/>
          <w:szCs w:val="20"/>
          <w:color w:val="auto"/>
        </w:rPr>
      </w:pPr>
      <w:r>
        <w:rPr>
          <w:rFonts w:ascii="Times New Roman" w:cs="Times New Roman" w:eastAsia="Times New Roman" w:hAnsi="Times New Roman"/>
          <w:sz w:val="19"/>
          <w:szCs w:val="19"/>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CDMOs,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any of our patent applications do not issue as patents in any jurisdiction, we may not be able to compete effectively.</w:t>
      </w:r>
    </w:p>
    <w:p>
      <w:pPr>
        <w:spacing w:after="0" w:line="231"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patents with respect to our product candidates. With respect to our intellectual property related to our product candidates,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7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patent prosecution process is expensive, time -consuming, and complex, and we may not be able to file, prosecute, maintain, or enforce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w:t>
      </w:r>
    </w:p>
    <w:p>
      <w:pPr>
        <w:spacing w:after="0" w:line="1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16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other technologies or which effectively prevent others from commercializing competitive technologies and product candidates.</w:t>
      </w:r>
    </w:p>
    <w:p>
      <w:pPr>
        <w:spacing w:after="0" w:line="187"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Moreover, the coverage claimed in a patent application can be significantly reduced before the patent is issued, and its scope can be reinterpreted after issuance. Even if patent applications we own currently or in the future issue as patents, they may not issue in a form that will provide us with any meaningful protection, prevent competitors or other third parties from competing with us, or otherwise provide us with any competitive advantage. Any patents to which we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48 / 117</w:t>
      </w:r>
    </w:p>
    <w:p>
      <w:pPr>
        <w:sectPr>
          <w:pgSz w:w="12240" w:h="15840" w:orient="portrait"/>
          <w:cols w:equalWidth="0" w:num="1">
            <w:col w:w="10800"/>
          </w:cols>
          <w:pgMar w:left="720" w:top="788" w:right="720" w:bottom="0" w:gutter="0" w:footer="0" w:header="0"/>
        </w:sectPr>
      </w:pPr>
    </w:p>
    <w:bookmarkStart w:id="48" w:name="page49"/>
    <w:bookmarkEnd w:id="48"/>
    <w:p>
      <w:pPr>
        <w:jc w:val="both"/>
        <w:ind w:firstLine="360"/>
        <w:spacing w:after="0" w:line="242" w:lineRule="auto"/>
        <w:rPr>
          <w:sz w:val="20"/>
          <w:szCs w:val="20"/>
          <w:color w:val="auto"/>
        </w:rPr>
      </w:pPr>
      <w:r>
        <w:rPr>
          <w:rFonts w:ascii="Times New Roman" w:cs="Times New Roman" w:eastAsia="Times New Roman" w:hAnsi="Times New Roman"/>
          <w:sz w:val="20"/>
          <w:szCs w:val="20"/>
          <w:color w:val="auto"/>
        </w:rPr>
        <w:t xml:space="preserve">The issuance of a patent is not conclusive as to its inventorship, scope, validity, or enforceability, and our patents may be challenged in the courts or patent offices in the U.S. and abroad. We may be subject to a third-party pre-issuance submission of prior art to the USPTO or become involved in opposition, derivation, revocation, reexamination, post-grant and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priority of invention or other features of patentability with respect to our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and other technologies. 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w:t>
      </w:r>
    </w:p>
    <w:p>
      <w:pPr>
        <w:spacing w:after="0" w:line="193"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and proprietary rights throughout the world.</w:t>
      </w:r>
    </w:p>
    <w:p>
      <w:pPr>
        <w:spacing w:after="0" w:line="231"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Filing, prosecuting, and defending patents on our product candidates and other technologies in all countries throughout the world would be prohibitively expensive, and the laws of foreign countries may not protect our rights to the same extent as the laws of the U.S.</w:t>
      </w:r>
    </w:p>
    <w:p>
      <w:pPr>
        <w:spacing w:after="0" w:line="135"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191"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49 / 117</w:t>
      </w:r>
    </w:p>
    <w:p>
      <w:pPr>
        <w:sectPr>
          <w:pgSz w:w="12240" w:h="15840" w:orient="portrait"/>
          <w:cols w:equalWidth="0" w:num="1">
            <w:col w:w="10800"/>
          </w:cols>
          <w:pgMar w:left="720" w:top="788" w:right="720" w:bottom="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 fees on patents and applications will be due to be paid to the USPTO and various government patent agencies outside of the U.S.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U.S. patent law could diminish the value of patents in general, thereby impairing our ability to protect our products.</w:t>
      </w:r>
    </w:p>
    <w:p>
      <w:pPr>
        <w:spacing w:after="0" w:line="23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U.S. could increase the uncertainties and costs surrounding the prosecution of patent applications and the enforcement or defense of issued patents.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“America Invents Act”) enacted in September 2011, the U.S.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Since patent applications in the U.S.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patents or patent applications.</w:t>
      </w:r>
    </w:p>
    <w:p>
      <w:pPr>
        <w:spacing w:after="0" w:line="19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 xml:space="preserve">The America Invents Act also significantly affects the way patent applications are prosecuted and as well as patent litigation. This includes allowing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derivation proceedings. Because of a lower evidentiary standard in USPTO proceedings as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19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addition, the patent positions of companies in the development and commercialization of pharmaceuticals are particularly uncertain. Various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50 / 117</w:t>
      </w:r>
    </w:p>
    <w:p>
      <w:pPr>
        <w:sectPr>
          <w:pgSz w:w="12240" w:h="15840" w:orient="portrait"/>
          <w:cols w:equalWidth="0" w:num="1">
            <w:col w:w="10800"/>
          </w:cols>
          <w:pgMar w:left="720" w:top="788" w:right="720" w:bottom="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of our patents and other intellectual property.</w:t>
      </w:r>
    </w:p>
    <w:p>
      <w:pPr>
        <w:spacing w:after="0" w:line="228"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We may be subject to claims that former employees, scientific collaborators or other third parties have an interest in our patents, trade secrets, or other intellectual property as an inventor or co -inventor. For example, we may have inventorship disputes arise from conflicting obligations of employees, consultants, or others who are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necessary rights to our product candidates or other technologies.</w:t>
      </w:r>
    </w:p>
    <w:p>
      <w:pPr>
        <w:spacing w:after="0" w:line="228" w:lineRule="exact"/>
        <w:rPr>
          <w:sz w:val="20"/>
          <w:szCs w:val="20"/>
          <w:color w:val="auto"/>
        </w:rPr>
      </w:pPr>
    </w:p>
    <w:p>
      <w:pPr>
        <w:jc w:val="both"/>
        <w:ind w:left="20" w:firstLine="360"/>
        <w:spacing w:after="0" w:line="242" w:lineRule="auto"/>
        <w:rPr>
          <w:sz w:val="20"/>
          <w:szCs w:val="20"/>
          <w:color w:val="auto"/>
        </w:rPr>
      </w:pPr>
      <w:r>
        <w:rPr>
          <w:rFonts w:ascii="Times New Roman" w:cs="Times New Roman" w:eastAsia="Times New Roman" w:hAnsi="Times New Roman"/>
          <w:sz w:val="20"/>
          <w:szCs w:val="20"/>
          <w:color w:val="auto"/>
        </w:rPr>
        <w:t>Many pharmaceutical companies, biotechnology companies, and academic institutions that compete with us in the field of neurodegeneration therapy may have patents filed and are likely filing patent applications potentially relevant to our business. In order to avoid infringing these third -party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 interest to such patents. However, we may be unable to secure such licenses or otherwise acquire any compositions, methods of use, processes, or other intellectual property rights from third parties that we identify as necessary for our future product candidates.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w:t>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expansion into additional indications may face challenges if we are unable to obtain additional intellectual property rights that may be necessary or desirable.</w:t>
      </w:r>
    </w:p>
    <w:p>
      <w:pPr>
        <w:spacing w:after="0" w:line="161"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We may leverage our scientific insights in neurodegeneration and neuroinflammation and advanced tools in molecular biology, biochemistry, and imaging to expand our science to other diseases, initially focusing on central nervous system disorders.</w:t>
      </w:r>
    </w:p>
    <w:p>
      <w:pPr>
        <w:spacing w:after="0" w:line="15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While we expect certain of our existing intellectual property, such as our patents covering the composition of matter of our drug simufilam, to be important for any such expansion, in order to expand our science to other diseases, for some indications, it may be necessary or desirable that we procure additional intellectual property to support new development programs. In the absence of such additional intellectual property rights, product candidates that we may develop for such additional indications may not be sufficiently covered by intellectual property or such product candidates may be challenged by third parties possessing other intellectual property or exclusive rights in respect thereof.</w:t>
      </w:r>
    </w:p>
    <w:p>
      <w:pPr>
        <w:spacing w:after="0" w:line="19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are currently subject to a full clinical hold. If we are successful in our efforts to have the clinical hold lifted, we intend to conduct a proof-of-concept clinical study to better understand simufilam’s potential as a treatment for TSC-related epilepsy.</w:t>
      </w:r>
    </w:p>
    <w:p>
      <w:pPr>
        <w:spacing w:after="0" w:line="15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On February 26, 2025, we entered into the License Agreement with Yale in connection with our development and commercialization of simufilam for the treatment of TSC-related epilepsy. If we fail to comply with our obligations under the License Agreement, Yale may have the right to terminate the License Agreement, in which event we may not be able to advance our development and commercialization plans for simufilam for the treatment of TSC-related epilepsy. In addition, disagreements with Yale, including over the scope of the License Agreement, contract interpretation, or the implementation of our development plan, may cause delays or termination of development or commercialization of simufilam for the treatment of TSC-related epilepsy, or may result in time-consuming and expensive legal proceedings.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51 / 117</w:t>
      </w:r>
    </w:p>
    <w:p>
      <w:pPr>
        <w:sectPr>
          <w:pgSz w:w="12240" w:h="15840" w:orient="portrait"/>
          <w:cols w:equalWidth="0" w:num="1">
            <w:col w:w="10820"/>
          </w:cols>
          <w:pgMar w:left="700" w:top="788" w:right="720" w:bottom="0" w:gutter="0" w:footer="0" w:header="0"/>
        </w:sectPr>
      </w:pPr>
    </w:p>
    <w:bookmarkStart w:id="51" w:name="page52"/>
    <w:bookmarkEnd w:id="51"/>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If we are unable to identify and procure intellectual property necessary or desirable for programs in other indications that we may decide to pursue in the future, it may be more challenging or, in some cases, impracticable to expand into such other indications. There can be no assurance that we will be able to obtain such intellectual property on commercially reasonable terms, or at all, which could have a material adverse effect on our business.</w:t>
      </w:r>
    </w:p>
    <w:p>
      <w:pPr>
        <w:spacing w:after="0" w:line="188"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which may prevent or delay the development of our product candidates.</w:t>
      </w:r>
    </w:p>
    <w:p>
      <w:pPr>
        <w:spacing w:after="0" w:line="180"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The field of developing innovations for neurodegenerative diseases is highly competitive and dynamic. Due to the focused research and development that is taking place by several companies, including us and our competitors, the intellectual property landscape in this field is in flux, and it may remain uncertain in the future. Additionally, no products utilizing our underlying science and technology have yet reached the market. As such, there may be significant intellectual property related litigation and proceedings relating to our, and other third party, intellectual property and proprietary rights in the future.</w:t>
      </w:r>
    </w:p>
    <w:p>
      <w:pPr>
        <w:spacing w:after="0" w:line="187" w:lineRule="exact"/>
        <w:rPr>
          <w:sz w:val="20"/>
          <w:szCs w:val="20"/>
          <w:color w:val="auto"/>
        </w:rPr>
      </w:pPr>
    </w:p>
    <w:p>
      <w:pPr>
        <w:jc w:val="both"/>
        <w:ind w:left="20" w:firstLine="360"/>
        <w:spacing w:after="0" w:line="261" w:lineRule="auto"/>
        <w:rPr>
          <w:sz w:val="20"/>
          <w:szCs w:val="20"/>
          <w:color w:val="auto"/>
        </w:rPr>
      </w:pPr>
      <w:r>
        <w:rPr>
          <w:rFonts w:ascii="Times New Roman" w:cs="Times New Roman" w:eastAsia="Times New Roman" w:hAnsi="Times New Roman"/>
          <w:sz w:val="19"/>
          <w:szCs w:val="19"/>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 -how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8"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w:t>
      </w:r>
    </w:p>
    <w:p>
      <w:pPr>
        <w:spacing w:after="0" w:line="188" w:lineRule="exact"/>
        <w:rPr>
          <w:sz w:val="20"/>
          <w:szCs w:val="20"/>
          <w:color w:val="auto"/>
        </w:rPr>
      </w:pPr>
    </w:p>
    <w:p>
      <w:pPr>
        <w:jc w:val="both"/>
        <w:ind w:left="20" w:firstLine="360"/>
        <w:spacing w:after="0" w:line="260" w:lineRule="auto"/>
        <w:rPr>
          <w:sz w:val="20"/>
          <w:szCs w:val="20"/>
          <w:color w:val="auto"/>
        </w:rPr>
      </w:pPr>
      <w:r>
        <w:rPr>
          <w:rFonts w:ascii="Times New Roman" w:cs="Times New Roman" w:eastAsia="Times New Roman" w:hAnsi="Times New Roman"/>
          <w:sz w:val="19"/>
          <w:szCs w:val="19"/>
          <w:color w:val="auto"/>
        </w:rPr>
        <w:t xml:space="preserve">Our commercial success depends in part on our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We may become party to, or threatened with, such actions in the future, regardless of their merit. As discussed above, recently, due to changes in U.S. law referred to as patent reform, new procedures including </w:t>
      </w:r>
      <w:r>
        <w:rPr>
          <w:rFonts w:ascii="Times New Roman" w:cs="Times New Roman" w:eastAsia="Times New Roman" w:hAnsi="Times New Roman"/>
          <w:sz w:val="19"/>
          <w:szCs w:val="19"/>
          <w:i w:val="1"/>
          <w:iCs w:val="1"/>
          <w:color w:val="auto"/>
        </w:rPr>
        <w:t>inter partes</w:t>
      </w:r>
      <w:r>
        <w:rPr>
          <w:rFonts w:ascii="Times New Roman" w:cs="Times New Roman" w:eastAsia="Times New Roman" w:hAnsi="Times New Roman"/>
          <w:sz w:val="19"/>
          <w:szCs w:val="19"/>
          <w:color w:val="auto"/>
        </w:rPr>
        <w:t xml:space="preserve"> review and post-grant review have been implemented. As stated above, this reform adds uncertainty to the possibility of challenge to our patents in the future.</w:t>
      </w:r>
    </w:p>
    <w:p>
      <w:pPr>
        <w:spacing w:after="0" w:line="178" w:lineRule="exact"/>
        <w:rPr>
          <w:sz w:val="20"/>
          <w:szCs w:val="20"/>
          <w:color w:val="auto"/>
        </w:rPr>
      </w:pPr>
    </w:p>
    <w:p>
      <w:pPr>
        <w:jc w:val="both"/>
        <w:ind w:left="20" w:firstLine="360"/>
        <w:spacing w:after="0" w:line="243" w:lineRule="auto"/>
        <w:rPr>
          <w:sz w:val="20"/>
          <w:szCs w:val="20"/>
          <w:color w:val="auto"/>
        </w:rPr>
      </w:pPr>
      <w:r>
        <w:rPr>
          <w:rFonts w:ascii="Times New Roman" w:cs="Times New Roman" w:eastAsia="Times New Roman" w:hAnsi="Times New Roman"/>
          <w:sz w:val="20"/>
          <w:szCs w:val="20"/>
          <w:color w:val="auto"/>
        </w:rPr>
        <w:t>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Although we believe that we do not infringe on any third parties’ patents or other intellectual property, we cannot assure you that our product candidates and other technologies that we have developed, are developing or may develop in the future will not infringe existing or future patents owned by third parties. We may not be aware of patents that have already been issued to a third party, such as a competitor in the fields in which we are developing product candidates, who might assert infringement of patents it may hold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52 / 117</w:t>
      </w:r>
    </w:p>
    <w:p>
      <w:pPr>
        <w:sectPr>
          <w:pgSz w:w="12240" w:h="15840" w:orient="portrait"/>
          <w:cols w:equalWidth="0" w:num="1">
            <w:col w:w="10820"/>
          </w:cols>
          <w:pgMar w:left="700" w:top="788" w:right="720" w:bottom="0" w:gutter="0" w:footer="0" w:header="0"/>
        </w:sectPr>
      </w:pPr>
    </w:p>
    <w:bookmarkStart w:id="52" w:name="page53"/>
    <w:bookmarkEnd w:id="52"/>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and other intellectual property rights, which could be expensive, time consuming, and unsuccessful.</w:t>
      </w:r>
    </w:p>
    <w:p>
      <w:pPr>
        <w:spacing w:after="0" w:line="16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Competitors may infringe on our patents or the patents of our licensing partners, or we may be required to defend against claims of infringement. In addition, our patents or the patents of our licensing partners also may become involved in inventorship, priority,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5"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3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3" w:lineRule="exact"/>
        <w:rPr>
          <w:sz w:val="20"/>
          <w:szCs w:val="20"/>
          <w:color w:val="auto"/>
        </w:rPr>
      </w:pPr>
    </w:p>
    <w:p>
      <w:pPr>
        <w:ind w:left="740" w:hanging="370"/>
        <w:spacing w:after="0" w:line="258"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products that are similar to our product candidates or utilize similar technology but that are not covered by the claims of the patents that we may own;</w:t>
      </w:r>
    </w:p>
    <w:p>
      <w:pPr>
        <w:spacing w:after="0" w:line="1" w:lineRule="exact"/>
        <w:rPr>
          <w:rFonts w:ascii="Times New Roman" w:cs="Times New Roman" w:eastAsia="Times New Roman" w:hAnsi="Times New Roman"/>
          <w:sz w:val="20"/>
          <w:szCs w:val="20"/>
          <w:color w:val="auto"/>
        </w:rPr>
      </w:pPr>
    </w:p>
    <w:p>
      <w:pPr>
        <w:ind w:left="740" w:hanging="370"/>
        <w:spacing w:after="0" w:line="245"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make the inventions covered by the issued patent or pending patent application that we own now or in the future;</w:t>
      </w: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file patent applications covering certain of our inventions;</w:t>
      </w:r>
    </w:p>
    <w:p>
      <w:pPr>
        <w:spacing w:after="0" w:line="30" w:lineRule="exact"/>
        <w:rPr>
          <w:rFonts w:ascii="Times New Roman" w:cs="Times New Roman" w:eastAsia="Times New Roman" w:hAnsi="Times New Roman"/>
          <w:sz w:val="20"/>
          <w:szCs w:val="20"/>
          <w:color w:val="auto"/>
        </w:rPr>
      </w:pPr>
    </w:p>
    <w:p>
      <w:pPr>
        <w:ind w:left="740" w:right="20" w:hanging="370"/>
        <w:spacing w:after="0" w:line="258"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owned intellectual property rights;</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current or future pending patent applications will not lead to issued patents;</w:t>
      </w:r>
    </w:p>
    <w:p>
      <w:pPr>
        <w:spacing w:after="0" w:line="30" w:lineRule="exact"/>
        <w:rPr>
          <w:rFonts w:ascii="Times New Roman" w:cs="Times New Roman" w:eastAsia="Times New Roman" w:hAnsi="Times New Roman"/>
          <w:sz w:val="20"/>
          <w:szCs w:val="20"/>
          <w:color w:val="auto"/>
        </w:rPr>
      </w:pPr>
    </w:p>
    <w:p>
      <w:pPr>
        <w:ind w:left="740" w:hanging="370"/>
        <w:spacing w:after="0" w:line="258"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hold rights to may be held invalid or unenforceable, including as a result of legal challenges by our competitors or other third parties;</w:t>
      </w:r>
    </w:p>
    <w:p>
      <w:pPr>
        <w:spacing w:after="0" w:line="1" w:lineRule="exact"/>
        <w:rPr>
          <w:rFonts w:ascii="Times New Roman" w:cs="Times New Roman" w:eastAsia="Times New Roman" w:hAnsi="Times New Roman"/>
          <w:sz w:val="20"/>
          <w:szCs w:val="20"/>
          <w:color w:val="auto"/>
        </w:rPr>
      </w:pPr>
    </w:p>
    <w:p>
      <w:pPr>
        <w:jc w:val="both"/>
        <w:ind w:left="740" w:right="20" w:hanging="370"/>
        <w:spacing w:after="0" w:line="243"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32"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harm our business; and</w:t>
      </w:r>
    </w:p>
    <w:p>
      <w:pPr>
        <w:spacing w:after="0" w:line="55" w:lineRule="exact"/>
        <w:rPr>
          <w:rFonts w:ascii="Times New Roman" w:cs="Times New Roman" w:eastAsia="Times New Roman" w:hAnsi="Times New Roman"/>
          <w:sz w:val="20"/>
          <w:szCs w:val="20"/>
          <w:color w:val="auto"/>
        </w:rPr>
      </w:pPr>
    </w:p>
    <w:p>
      <w:pPr>
        <w:ind w:left="740" w:hanging="370"/>
        <w:spacing w:after="0" w:line="277"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intellectual property.</w:t>
      </w:r>
    </w:p>
    <w:p>
      <w:pPr>
        <w:spacing w:after="0" w:line="163"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growth prospects.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53 / 117</w:t>
      </w:r>
    </w:p>
    <w:p>
      <w:pPr>
        <w:sectPr>
          <w:pgSz w:w="12240" w:h="15840" w:orient="portrait"/>
          <w:cols w:equalWidth="0" w:num="1">
            <w:col w:w="10800"/>
          </w:cols>
          <w:pgMar w:left="720" w:top="788" w:right="720" w:bottom="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20"/>
          <w:szCs w:val="20"/>
          <w:b w:val="1"/>
          <w:bCs w:val="1"/>
          <w:color w:val="auto"/>
        </w:rPr>
        <w:t>Risks Related to Our Business and Operations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been and may in the future be subject to lawsuits and governmental investigations and inquiries.</w:t>
      </w:r>
    </w:p>
    <w:p>
      <w:pPr>
        <w:spacing w:after="0" w:line="231" w:lineRule="exact"/>
        <w:rPr>
          <w:sz w:val="20"/>
          <w:szCs w:val="20"/>
          <w:color w:val="auto"/>
        </w:rPr>
      </w:pPr>
    </w:p>
    <w:p>
      <w:pPr>
        <w:jc w:val="both"/>
        <w:ind w:left="140" w:firstLine="360"/>
        <w:spacing w:after="0" w:line="247" w:lineRule="auto"/>
        <w:rPr>
          <w:sz w:val="20"/>
          <w:szCs w:val="20"/>
          <w:color w:val="auto"/>
        </w:rPr>
      </w:pPr>
      <w:r>
        <w:rPr>
          <w:rFonts w:ascii="Times New Roman" w:cs="Times New Roman" w:eastAsia="Times New Roman" w:hAnsi="Times New Roman"/>
          <w:sz w:val="20"/>
          <w:szCs w:val="20"/>
          <w:color w:val="auto"/>
        </w:rPr>
        <w:t>We previously settled an SEC investigation, and the DOJ closed its criminal investigation without pursuing charges. Notwithstanding the resolution of these matters, government authorities retain broad discretion to reopen investigations, pursue new inquiries based on the same or similar facts, or initiate additional proceedings in the future. We cannot predict whether any such actions may occur or the scope, duration, or outcome of any future investigation. Any renewed or new investigation could result in substantial costs, diversion of management attention, reputational harm, civil or criminal penalties, or other adverse consequences, which could materially and adversely affect our business, financial condition, results of operations, or prospects.</w:t>
      </w:r>
    </w:p>
    <w:p>
      <w:pPr>
        <w:spacing w:after="0" w:line="190" w:lineRule="exact"/>
        <w:rPr>
          <w:sz w:val="20"/>
          <w:szCs w:val="20"/>
          <w:color w:val="auto"/>
        </w:rPr>
      </w:pPr>
    </w:p>
    <w:p>
      <w:pPr>
        <w:jc w:val="both"/>
        <w:ind w:left="140" w:firstLine="360"/>
        <w:spacing w:after="0" w:line="258" w:lineRule="auto"/>
        <w:rPr>
          <w:sz w:val="20"/>
          <w:szCs w:val="20"/>
          <w:color w:val="auto"/>
        </w:rPr>
      </w:pPr>
      <w:r>
        <w:rPr>
          <w:rFonts w:ascii="Times New Roman" w:cs="Times New Roman" w:eastAsia="Times New Roman" w:hAnsi="Times New Roman"/>
          <w:sz w:val="19"/>
          <w:szCs w:val="19"/>
          <w:color w:val="auto"/>
        </w:rPr>
        <w:t>We also are defending ourselves in several civil lawsuits, including Anti-SLAPP, securities class action and shareholder derivative actions. The defense of these matters is expensive and time consuming and may divert the time and attention of our management away from the conduct of our primary business. Such litigation is inherently uncertain, and we cannot predict the timing, outcome, or impact of these lawsuits, including whether they will be resolved through settlement or adverse judgment. Any such resolution could involve substantial monetary damages, penalties, or other remedies, as well as reputational harm, even if we ultimately prevail. The costs associated with defending these actions, together with any unfavorable outcome, could materially and adversely affect our business, financial condition, results of operations, cash flows, and stock price. Moreover, the allegations underlying such litigation and governmental investigations have damaged our business reputation, which may make it difficult to, among other things: raise capital or engage in a strategic transaction on acceptable terms or at all; hire and retain third- party consultants and collaborators; recruit and retain patients for our studies; and attract and retain qualified executive officers, other employees and directors.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54 / 117</w:t>
      </w:r>
    </w:p>
    <w:p>
      <w:pPr>
        <w:sectPr>
          <w:pgSz w:w="12240" w:h="15840" w:orient="portrait"/>
          <w:cols w:equalWidth="0" w:num="1">
            <w:col w:w="10840"/>
          </w:cols>
          <w:pgMar w:left="680" w:top="784" w:right="720" w:bottom="0" w:gutter="0" w:footer="0" w:header="0"/>
        </w:sectPr>
      </w:pPr>
    </w:p>
    <w:bookmarkStart w:id="54" w:name="page55"/>
    <w:bookmarkEnd w:id="54"/>
    <w:p>
      <w:pPr>
        <w:jc w:val="both"/>
        <w:ind w:left="160" w:firstLine="360"/>
        <w:spacing w:after="0" w:line="243" w:lineRule="auto"/>
        <w:rPr>
          <w:sz w:val="20"/>
          <w:szCs w:val="20"/>
          <w:color w:val="auto"/>
        </w:rPr>
      </w:pPr>
      <w:r>
        <w:rPr>
          <w:rFonts w:ascii="Times New Roman" w:cs="Times New Roman" w:eastAsia="Times New Roman" w:hAnsi="Times New Roman"/>
          <w:sz w:val="20"/>
          <w:szCs w:val="20"/>
          <w:color w:val="auto"/>
        </w:rPr>
        <w:t>As a result of current or future lawsuits, we may have to pay significant damages or amounts in settlement above insurance coverage, including amounts in respect of indemnification obligations of the Company to former officers and senior employees. An unfavorable outcome or prolonged litigation could materially and adversely impact our business, operating results, and financial condition, including our cash runway. In addition, current or future government investigations and inquiries could subject us to various sanctions, including significant penalties, our being prevented from receiving government grants, and other punitive measures. For example, the Company paid a civil monetary penalty of $40 million in November 2024 as part of a settlement with the SEC resolving the SEC investigation of the Company’s disclosures regarding its Phase 2b Study and related matters. In addition, the Company has recently agreed to pay $31.25 million to settle certain securities litigation. Such payments or settlement arrangements in current or future litigation and government investigations and inquiries could significantly and adversely impact our reputation and divert management’s attention and resources, which could have a material adverse effect on our business, operating results and financial condition.</w:t>
      </w:r>
    </w:p>
    <w:p>
      <w:pPr>
        <w:spacing w:after="0" w:line="199" w:lineRule="exact"/>
        <w:rPr>
          <w:sz w:val="20"/>
          <w:szCs w:val="20"/>
          <w:color w:val="auto"/>
        </w:rPr>
      </w:pPr>
    </w:p>
    <w:p>
      <w:pPr>
        <w:jc w:val="both"/>
        <w:ind w:left="160" w:firstLine="360"/>
        <w:spacing w:after="0" w:line="274" w:lineRule="auto"/>
        <w:rPr>
          <w:sz w:val="20"/>
          <w:szCs w:val="20"/>
          <w:color w:val="auto"/>
        </w:rPr>
      </w:pPr>
      <w:r>
        <w:rPr>
          <w:rFonts w:ascii="Times New Roman" w:cs="Times New Roman" w:eastAsia="Times New Roman" w:hAnsi="Times New Roman"/>
          <w:sz w:val="20"/>
          <w:szCs w:val="20"/>
          <w:color w:val="auto"/>
        </w:rPr>
        <w:t>While we cannot estimate our potential exposure to future litigation, regulatory claims, investigations or proceedings at this time, we have already incurred significant expense and expect to continue to incur significant expense in the future.</w:t>
      </w:r>
    </w:p>
    <w:p>
      <w:pPr>
        <w:spacing w:after="0" w:line="164"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current dependence on single source suppliers for our drug substance and drug product could materially adversely affect our ability to manufacture our product candidates and materially increase our costs.</w:t>
      </w:r>
    </w:p>
    <w:p>
      <w:pPr>
        <w:spacing w:after="0" w:line="160"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We rely on single source suppliers for materials that are critical to the manufacturing of simufilam, our lead product candidate. This reliance subjects us to risks related to our potential inability to obtain an adequate supply of required materials. If these third parties do not successfully carry out their contractual duties, meet expected deadlines or conduct their activities in accordance with regulatory requirements, or if there are disagreements between us and these third parties, we may not be able to complete, or may be delayed in completing, the clinical studies required to support future regulatory submissions and approval of the product candidates we develop. Our operating results could be materially adversely affected if we were unable to obtain adequate supplies of simufilam in a timely manner or if their cost increased significantly due to inflation or other factors.</w:t>
      </w:r>
    </w:p>
    <w:p>
      <w:pPr>
        <w:spacing w:after="0" w:line="196"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Further, under certain circumstances, service providers that have contracted with us may be entitled to terminate their engagements with us. In such circumstances, product development activities could be delayed while we seek to identify, validate, and negotiate an agreement with a replacement service provider. In some such cases an appropriate replacement may not be readily available or available on acceptable terms, which could cause additional delays to our development process. It would likely result in production and delivery delays if we needed to find alternative suppliers for simufilam, which could lead to delays in our clinical trials and have a material adverse effect on our business, results of operations and financial condition</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Inadequate Congressional funding for the FDA, the SEC and other U.S. government agencies or comparable foreign regulatory authorities, including from government shut downs, or other disruptions to these agencies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operations, could hinder these agencies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ability to hire and retain key leadership and other personnel, prevent new products and services from being developed or commercialized in a timely manner or otherwise prevent government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ind w:firstLine="458"/>
        <w:spacing w:after="0" w:line="249" w:lineRule="auto"/>
        <w:rPr>
          <w:sz w:val="20"/>
          <w:szCs w:val="20"/>
          <w:color w:val="auto"/>
        </w:rPr>
      </w:pPr>
      <w:r>
        <w:rPr>
          <w:rFonts w:ascii="Times New Roman" w:cs="Times New Roman" w:eastAsia="Times New Roman" w:hAnsi="Times New Roman"/>
          <w:sz w:val="20"/>
          <w:szCs w:val="20"/>
          <w:color w:val="auto"/>
        </w:rPr>
        <w:t>The ability of the FDA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Disruptions at the FDA and other agencies may also slow the time necessary for new product candidates to be reviewed and/or approved by necessary government agencies, which would adversely affect our business.</w:t>
      </w:r>
    </w:p>
    <w:p>
      <w:pPr>
        <w:spacing w:after="0" w:line="187" w:lineRule="exact"/>
        <w:rPr>
          <w:sz w:val="20"/>
          <w:szCs w:val="20"/>
          <w:color w:val="auto"/>
        </w:rPr>
      </w:pPr>
    </w:p>
    <w:p>
      <w:pPr>
        <w:jc w:val="both"/>
        <w:ind w:firstLine="639"/>
        <w:spacing w:after="0" w:line="257" w:lineRule="auto"/>
        <w:rPr>
          <w:sz w:val="20"/>
          <w:szCs w:val="20"/>
          <w:color w:val="auto"/>
        </w:rPr>
      </w:pPr>
      <w:r>
        <w:rPr>
          <w:rFonts w:ascii="Times New Roman" w:cs="Times New Roman" w:eastAsia="Times New Roman" w:hAnsi="Times New Roman"/>
          <w:sz w:val="20"/>
          <w:szCs w:val="20"/>
          <w:color w:val="auto"/>
        </w:rPr>
        <w:t>In addition, government funding of the SEC and other government agencies on which our operations may rely, including those that fund research and development activities, is subject to the political process, which is inherently fluid, unpredictable and entirely beyond our control.</w:t>
      </w:r>
    </w:p>
    <w:p>
      <w:pPr>
        <w:spacing w:after="0" w:line="181" w:lineRule="exact"/>
        <w:rPr>
          <w:sz w:val="20"/>
          <w:szCs w:val="20"/>
          <w:color w:val="auto"/>
        </w:rPr>
      </w:pPr>
    </w:p>
    <w:p>
      <w:pPr>
        <w:jc w:val="both"/>
        <w:ind w:firstLine="639"/>
        <w:spacing w:after="0" w:line="245" w:lineRule="auto"/>
        <w:rPr>
          <w:sz w:val="20"/>
          <w:szCs w:val="20"/>
          <w:color w:val="auto"/>
        </w:rPr>
      </w:pPr>
      <w:r>
        <w:rPr>
          <w:rFonts w:ascii="Times New Roman" w:cs="Times New Roman" w:eastAsia="Times New Roman" w:hAnsi="Times New Roman"/>
          <w:sz w:val="20"/>
          <w:szCs w:val="20"/>
          <w:color w:val="auto"/>
        </w:rPr>
        <w:t>Disruptions at the FDA and other agencies, including workforce reductions, may also slow the time necessary for us and the FDA to communicate and discuss key aspects of our clinical program, or for new product candidates to be reviewed and/or approved by necessary government agencies, which would adversely affect our business. For example, in prior years the U.S. government has shut down several times and certain regulatory agencies, such as the FDA and the SEC, have had to furlough critical employees and stop critical activities. If a prolonged government shutdown occurs, it could significantly impact the ability of the FDA or SEC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55 / 117</w:t>
      </w:r>
    </w:p>
    <w:p>
      <w:pPr>
        <w:sectPr>
          <w:pgSz w:w="12240" w:h="15840" w:orient="portrait"/>
          <w:cols w:equalWidth="0" w:num="1">
            <w:col w:w="10820"/>
          </w:cols>
          <w:pgMar w:left="700" w:top="788" w:right="720" w:bottom="0" w:gutter="0" w:footer="0" w:header="0"/>
        </w:sectPr>
      </w:pPr>
    </w:p>
    <w:bookmarkStart w:id="55" w:name="page56"/>
    <w:bookmarkEnd w:id="55"/>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Our reliance on third parties for both the supply and manufacture of materials for our product candidates carries the risk that we will not have sufficient quality or quantities of such materials or product candidates, or that such supply will not be available to us at an acceptable cost, which could delay, prevent, or impair our development or commercialization efforts.</w:t>
      </w:r>
    </w:p>
    <w:p>
      <w:pPr>
        <w:spacing w:after="0" w:line="18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do not have any manufacturing facilities. We currently expect to rely on CDMOs for all of the manufacture of our materials for preclinical studies and clinical studies, clinical studies, and for commercial supply of any product candidates that we may develop. We currently have established relationships with several CDMOs for the manufacturing of our product candidates. We may be unable to establish any further agreements with CDMOs or to do so on acceptable terms. Even if we are able to establish agreements with third-party manufacturers, reliance on CDMOs entails additional risks, including:</w:t>
      </w:r>
    </w:p>
    <w:p>
      <w:pPr>
        <w:spacing w:after="0" w:line="192" w:lineRule="exact"/>
        <w:rPr>
          <w:sz w:val="20"/>
          <w:szCs w:val="20"/>
          <w:color w:val="auto"/>
        </w:rPr>
      </w:pPr>
    </w:p>
    <w:p>
      <w:pPr>
        <w:ind w:left="740" w:hanging="370"/>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55" w:lineRule="exact"/>
        <w:rPr>
          <w:rFonts w:ascii="Times New Roman" w:cs="Times New Roman" w:eastAsia="Times New Roman" w:hAnsi="Times New Roman"/>
          <w:sz w:val="20"/>
          <w:szCs w:val="20"/>
          <w:color w:val="auto"/>
        </w:rPr>
      </w:pPr>
    </w:p>
    <w:p>
      <w:pPr>
        <w:ind w:left="740" w:hanging="370"/>
        <w:spacing w:after="0" w:line="258"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third party for regulatory compliance, quality assurance, safety, and pharmacovigilance and related reporting; and</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produce required volume in a timely manner and to quality standards.</w:t>
      </w:r>
    </w:p>
    <w:p>
      <w:pPr>
        <w:spacing w:after="0" w:line="256"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Third-party manufacturers may not be able to comply with cGMP regulations or similar regulatory requirements outside the U.S. Our failure, or the failure of our CDMOs, to comply with applicable regulations could result in clinical holds on our studies, sanctions being imposed on us, including fines, injunctions, civil penalties, delays, suspension or withdrawal of approvals, seizures, or recalls of product candidates or product candidates, operating restrictions, and criminal prosecutions, any of which could significantly and adversely affect supplies of our product candidates and harm our business, financial condition, results of operations, and growth prospects.</w:t>
      </w:r>
    </w:p>
    <w:p>
      <w:pPr>
        <w:spacing w:after="0" w:line="19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Any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0"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third-party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18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also rely on third-parties for the supply of the raw materials required for the production of our product candidates, and we expect to continue to rely on third party manufacturers for the commercial supply of any of our product candidates for which we obtain marketing approval. 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56 / 117</w:t>
      </w:r>
    </w:p>
    <w:p>
      <w:pPr>
        <w:sectPr>
          <w:pgSz w:w="12240" w:h="15840" w:orient="portrait"/>
          <w:cols w:equalWidth="0" w:num="1">
            <w:col w:w="10800"/>
          </w:cols>
          <w:pgMar w:left="720" w:top="788" w:right="720" w:bottom="0" w:gutter="0" w:footer="0" w:header="0"/>
        </w:sectPr>
      </w:pPr>
    </w:p>
    <w:bookmarkStart w:id="56" w:name="page57"/>
    <w:bookmarkEnd w:id="56"/>
    <w:p>
      <w:pPr>
        <w:ind w:lef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consultants and vendors may engage in misconduct or other improper activities, including noncompliance with regulatory standards and requirements and insider trading.</w:t>
      </w:r>
    </w:p>
    <w:p>
      <w:pPr>
        <w:spacing w:after="0" w:line="16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principal investigators, consultants and vendors. Misconduct by these parties could include intentional failures, reckless and/or negligent conduct or unauthorized activities that violate</w:t>
      </w:r>
    </w:p>
    <w:p>
      <w:pPr>
        <w:jc w:val="both"/>
        <w:spacing w:after="0"/>
        <w:tabs>
          <w:tab w:leader="none" w:pos="24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laws and regulations of FDA and other regulatory authorities, including those laws requiring the reporting of true, complete and accurate information to such authorities, (ii) manufacturing standards, (iii) federal and state data privacy, security, fraud and abuse and other healthcare laws and regulations in the United States and abroad and (iv) laws that require the true, complete and accurate reporting of financial information or data. In particular, clinical and business arrangements in the biotechnology and healthcare industries are subject to extensive laws and regulations intended to prevent fraud, misconduct, kickbacks, self-dealing and other abusive practices. These laws and regulations restrict or prohibit a wide range of financial arrangements, incentive programs and other business arrangements. Such misconduct also could involve the improper use of individually identifiable information, including, without limitation, information obtained in the conduct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w:t>
      </w:r>
    </w:p>
    <w:p>
      <w:pPr>
        <w:spacing w:after="0" w:line="20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Additionally, we are subject to the risk that a person or government could allege such fraud or other misconduct, even if none occurred.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designed our disclosure controls and procedures to reasonably assure that information we must disclose in reports we file or furnish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7"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These inherent limitations include the realities that judgments in decision-making can be faulty, and that breakdowns can occur because of simple mistake or human error.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57 / 117</w:t>
      </w:r>
    </w:p>
    <w:p>
      <w:pPr>
        <w:sectPr>
          <w:pgSz w:w="12240" w:h="15840" w:orient="portrait"/>
          <w:cols w:equalWidth="0" w:num="1">
            <w:col w:w="10800"/>
          </w:cols>
          <w:pgMar w:left="720" w:top="788" w:right="720"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auto"/>
        </w:rPr>
        <w:t>Failure to comply with laws regarding data privacy could expose us to risk of enforcement actions and penalties under such laws.</w:t>
      </w:r>
    </w:p>
    <w:p>
      <w:pPr>
        <w:spacing w:after="0" w:line="22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 Our ongoing efforts to comply with evolving laws and regulations may be costly and require ongoing modifications to our policies, procedures and systems. Failure to comply with laws regarding data protection by us or our partners or service providers would expose us to risk of enforcement actions and penalties under such laws.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93"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0"/>
          <w:szCs w:val="20"/>
          <w:color w:val="auto"/>
        </w:rPr>
        <w:t>Within the U.S., there are numerous federal and state laws and regulations related to the privacy and security of personal information. For example, at the federal level, the Health Insurance Portability and Accountability Act of 1996, as amended (HIPAA), and its implementing regulations establish privacy and security standards that limit the use and disclosure of personally identifiable health information, or protected health information, and require the implementation of administrative, physical and technological safeguards to protect the privacy of protected health information. While we have determined that we are neither a “covered entity” nor a “business associate” directly subject to HIPAA, many of the U.S. health care providers with which we interact are subject to HIPAA, and we may have assumed obligations related to protecting the privacy of personal information. States are increasingly regulating the privacy and security of personal information. For example, the California Consumer Privacy Act (CCPA), which took effect in 2020, gives California consumers (defined to include all California residents) certain rights, including the right to ask covered companies to disclose the types of personal information collected, the categories of sources from which such information was collected, the business purpose for collecting or selling the consumer’s personal information, the categories of third parties with whom a covered company shares personal information, and specific pieces of information collected by a covered company. The CCPA imposes several obligations on covered companies to provide notice to California consumers regarding their data processing activities. The CCPA also gives California consumers the right to ask covered companies to delete a consumer’s personal information and it places limitations on a covered company’s ability to sell personal information, including providing consumers a right to opt out of sales of their personal information. Additionally, the California Privacy Rights Act (CPRA), which became operational in 2023, significantly modifies the CCPA, including expanding consumers’ rights with respect to certain sensitive personal information, and creates a new state agency vested with authority to implement and enforce the CCPA and CPRA. The Virginia Consumer Data Protection Act (CDPA) went into effect in 2023 and provides consumers with new rights to access, correct, delete and obtain a copy of the personal information a covered business holds about them, and to opt out of certain data processing activities.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Ownership of our corporate headquarters and property leasing are subject to numerous risks and uncertainties.</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2021, we made an all-cash purchase of an office complex in Austin, Texas, a portion of which serves as our corporate headquarters. Title to this property is held by Austin Innovation Park, LLC, a Texas limited liability company wholly owned by the Company. The purchase required a substantial upfront cash investment and may require further commitments of our resources in the future. We have assumed or entered into lessor commitments with independent third parties for portions of our office complex and expect to continue to do so in the future. Commercial property ownership and related leasing activity are subject to many factors that pose substantial financial risks and uncertainties, including tenant default or non-payment of lease obligations by tenants. Macro-economic or other factors outside of our control could have an adverse effect on the demand for leased office space in our locale or may cause a decline in the market value of our corporate headquarters.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At December 31, 2025, we occupied approximately 25% of the property with the remainder either leased or available for lease to third parties. We expect to record a modest net loss on leasing activities in 2026 due to higher vacancy rates compared to historic occupancy. If we fail to lease unoccupied office space at favorable rates, or if we incur excessive expenses in this effort or incur excessive leasehold improvements or property ownership expenses, our business, operations, future prospects, cash flows, and financial position may be adversely affected.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58 / 117</w:t>
      </w:r>
    </w:p>
    <w:p>
      <w:pPr>
        <w:sectPr>
          <w:pgSz w:w="12240" w:h="15840" w:orient="portrait"/>
          <w:cols w:equalWidth="0" w:num="1">
            <w:col w:w="10800"/>
          </w:cols>
          <w:pgMar w:left="720" w:top="788" w:right="720" w:bottom="0" w:gutter="0" w:footer="0" w:header="0"/>
        </w:sectPr>
      </w:pPr>
    </w:p>
    <w:bookmarkStart w:id="58" w:name="page59"/>
    <w:bookmarkEnd w:id="58"/>
    <w:p>
      <w:pPr>
        <w:jc w:val="both"/>
        <w:ind w:left="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used by third parties on whom we rely, may fail or suffer other breakdowns, cyberattacks, or information security breaches that could compromise the confidentiality, integrity, and availability of such systems and data, result in material disruptions of our development programs and business operations, risk disclosure of confidential, financial, or proprietary information, and affect our reputation.</w:t>
      </w:r>
    </w:p>
    <w:p>
      <w:pPr>
        <w:spacing w:after="0" w:line="188" w:lineRule="exact"/>
        <w:rPr>
          <w:sz w:val="20"/>
          <w:szCs w:val="20"/>
          <w:color w:val="auto"/>
        </w:rPr>
      </w:pPr>
    </w:p>
    <w:p>
      <w:pPr>
        <w:jc w:val="both"/>
        <w:ind w:left="20" w:firstLine="360"/>
        <w:spacing w:after="0" w:line="241" w:lineRule="auto"/>
        <w:rPr>
          <w:sz w:val="20"/>
          <w:szCs w:val="20"/>
          <w:color w:val="auto"/>
        </w:rPr>
      </w:pPr>
      <w:r>
        <w:rPr>
          <w:rFonts w:ascii="Times New Roman" w:cs="Times New Roman" w:eastAsia="Times New Roman" w:hAnsi="Times New Roman"/>
          <w:sz w:val="20"/>
          <w:szCs w:val="20"/>
          <w:color w:val="auto"/>
        </w:rPr>
        <w:t>In the ordinary course of our business, we collect and store sensitive data, including legally protected patient health information, personally identifiable information about our employees, intellectual property, and proprietary business information. We manage and maintain our applications and data utilizing on-site systems, as well as extensive cloud-based applications and data storage. These applications and data encompass a wide variety of business-critical information including research and development information, commercial information and business and financial information. Despite the implementation of security measures, our internal computer systems and those of our current or future CROs and other contractors and consultants may be vulnerable to damage from computer viruses and unauthorized access. As the cyber-threat landscape evolves, these cyberattacks are growing in frequency, sophistication, and intensity, and are becoming increasingly difficult to detect. Such attacks could include the use of key loggers or other harmful and virulent malware, including ransomware or other denials of service, and can be deployed through malicious websites, the use of social engineering, and/or other means. If a breakdown, cyberattack, or other information security breach were to occur and cause interruptions in our operations, it could result in a misappropriation of confidential information, including our intellectual property or financial information, and a material disruption of our development programs and our business operations. For example, the loss of clinical study data from completed, ongoing, or future clinical studies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to conduct clinical studies, and to analyze our clinical study data and similar events relating to their computer systems could also have a material adverse effect on our business. To the extent that any disruption or security breach were to result in a loss of, or damage to, our data or systems, or inappropriate disclosure of confidential, financial, or proprietary information, including data related to our personnel, we could incur liability or risk disclosure of confidential, financial, or proprietary information, and the further development and commercialization of our product candidates could be delayed. There can be no assurance that we and our business counterparties will be successful in efforts to detect, prevent, or fully recover systems or data from all breakdowns, service interruptions, attacks, or breaches of systems that could adversely affect our business and operations and/or result in the loss of critical or sensitive data, which could result in financial, legal, business, or reputational harm to us.</w:t>
      </w:r>
    </w:p>
    <w:p>
      <w:pPr>
        <w:spacing w:after="0" w:line="20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are exploring and incorporating AI capabilities and related data analytics into our drug development efforts. As an emerging and rapidly evolving technology, our use of AI presents risks that could adversely affect our operations, information security and reputation. AI systems may produce inaccurate or flawed outputs due to flawed algorithms, or insufficient and/or erroneous training data. Reliance on flawed outputs could result in lower quality decision making or prevent us from effectively utilizing AI in our business. We may also become vulnerable to operational disruptions if the AI technologies we use experience downtimes or are compromised by cyberattacks. If we do not effectively implement guardrails and train our staff on the safe and proper use of AI, or if our staff fail to effectively adhere to our established guardrails and training on the use of AI, we may experience adverse effects on our business, including data breaches, the loss of confidential information (including our intellectual property), unintentional disclosure of personal data, or other misuse of our proprietary information, any of which could result in significant reputational harm and could have a material adverse effect on our business and results of operations.</w:t>
      </w:r>
    </w:p>
    <w:p>
      <w:pPr>
        <w:spacing w:after="0" w:line="192"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reliance on third parties requires us to share our proprietary information, which increases the possibility that a competitor will discover this information or that our proprietary information will be misappropriated or inadvertently disclosed.</w:t>
      </w:r>
    </w:p>
    <w:p>
      <w:pPr>
        <w:spacing w:after="0" w:line="164"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Our reliance on third -party vendors requires us to disclose our proprietary information to these parties, which could increase the risk that a competitor will discover this information or that our proprietary information will be misappropriated or disclosed without our intent to do so. If any of these events were to occur, then our ability to obtain patent protection or other intellectual property rights could be irrevocably jeopardized, and costly, distracting litigation could ensue. Furthermore, if these third-party vendors cease to continue operations and we are not able to quickly find a replacement provider or we lose information or items associated with our product candidates, our development programs may be delayed. Although we carefully manage our relationships with our third-party collaborators and CROs, there can be no assurance that we will not encounter challenges or delays in the future or that these delays or challenges will not have a material adverse impact on our business, clinical operations, financial condition and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59 / 117</w:t>
      </w:r>
    </w:p>
    <w:p>
      <w:pPr>
        <w:sectPr>
          <w:pgSz w:w="12240" w:h="15840" w:orient="portrait"/>
          <w:cols w:equalWidth="0" w:num="1">
            <w:col w:w="10820"/>
          </w:cols>
          <w:pgMar w:left="700" w:top="788" w:right="72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involves environmental risks that may result in liability for us.</w:t>
      </w:r>
    </w:p>
    <w:p>
      <w:pPr>
        <w:spacing w:after="0" w:line="22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In connection with our research and development activities, we, and our collaborators and vendors, are subject to federal, state and local laws, rules, regulations and policies governing the use, generation, manufacture, storage, air emission, effluent discharge, handling and disposal of certain materials, biological specimens, chemicals and wastes. Although we believe that we comply with such applicable laws, regulations and policies in all material respects and have not been required to correct any material noncompliance, we may incur significant costs to comply with environmental and health and safety regulations in the future. Although we believe that our safety procedures for handling and disposing of controlled materials comply with the standards prescribed by state and federal regulations, accidental contamination or injury from these materials may occur. In the event of such an occurrence, we could be held liable for any damages that result and any such liability could exceed our resources.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Business disruptions and lack of appropriate levels of commercial insurance could seriously harm our future revenue and financial condition and increase our costs and expenses.</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Our operations, and those of our third-party research institution collaborators, CROs, CDMOs, suppliers, and other contractors and consultants, could be subject to earthquakes, power shortages, telecommunications failures, water shortages, floods, hurricanes, typhoons, fires, extreme weather conditions, disease epidemics or pandemics, and other natural or man-made disasters or business interruptions, for which we are partly or entirely uninsured. In addition, we rely on third parties for conducting certain research and development activities relating to our product candidates, and they may be affected by government shutdowns or withdrawn funding. The occurrence of any such business disruptions could seriously harm our operations and financial condition and increase our costs and expenses. We rely on third 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95"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19"/>
          <w:szCs w:val="19"/>
          <w:color w:val="auto"/>
        </w:rPr>
        <w:t>Our day-to-day operations are located in a single office facility in Austin, Texas. Damage or extended periods of interruption to our corporate, development, or research facilities could cause us to cease or delay development of some or all our product candidates. Our insurance might not cover losses under such circumstances and our business may be seriously harmed by such delays and interruption.</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Social media platforms have significantly altered the dynamics of corporate communications and present risks and challenges, some of which are and may continue to be unknown to us.</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As social media continues to expand, it also presents us with new challenges. The inappropriate or unauthorized use of our confidential information on media platforms could cause brand damage or information leakage, which would cause legal or regulatory issues for us. In addition, negative, inappropriate or inaccurate posts or comments about us or our product candidates on social media internet sites could quickly and irreversibly damage our reputation, image and goodwill. Further, the accidental or intentional disclosure of non-public sensitive information by our workforce or others through media channels could lead to information loss or could lead to legal or regulatory issues for us. In addition, there is a risk of a fraudulent third-party hijacking our information technology systems without our knowledge to access our confidential documents or to use our company name, logo or brand without authorization. If any of these events were to occur or we otherwise fail to comply with applicable regulations, we could incur liability, face restrictive regulatory actions or incur other harm and costs to our business.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small company with a limited number of employees. We are highly dependent on our key personnel, and if we are not successful in attracting, motivating, and retaining highly qualified personnel, we may not be able to successfully implement our business strategy.</w:t>
      </w:r>
    </w:p>
    <w:p>
      <w:pPr>
        <w:spacing w:after="0" w:line="18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our scientific and technical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60 / 117</w:t>
      </w:r>
    </w:p>
    <w:p>
      <w:pPr>
        <w:sectPr>
          <w:pgSz w:w="12240" w:h="15840" w:orient="portrait"/>
          <w:cols w:equalWidth="0" w:num="1">
            <w:col w:w="10800"/>
          </w:cols>
          <w:pgMar w:left="720" w:top="788" w:right="720" w:bottom="0" w:gutter="0" w:footer="0" w:header="0"/>
        </w:sectPr>
      </w:pPr>
    </w:p>
    <w:bookmarkStart w:id="60" w:name="page61"/>
    <w:bookmarkEnd w:id="60"/>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To induce valuable employees to remain at our company, in addition to salary and cash incentives, we have provided equity option grants that vest over time and/or a cash bonus plan. The value to employees of these equity grants that vest over time or cash bonus plans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cease our operations if we are unable to attract and retain key personnel.</w:t>
      </w:r>
    </w:p>
    <w:p>
      <w:pPr>
        <w:spacing w:after="0" w:line="23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9"/>
          <w:szCs w:val="19"/>
          <w:color w:val="auto"/>
        </w:rPr>
        <w:t>We are engaged in developing early- and clinical-stage technologies and will continue to do so for the foreseeable future. Unlike larger organizations, we rely on a very small number of highly skilled, and highly sought after, employees to continue the advancement of our development stage technologies. The knowledge and skills contributed by our key employees may be irreplaceable and the loss of a key employee may cause substantial negative financial, operational and scientific consequences for our business. As an example, the intellectual property that is intended to protect our development stage technologies is still evolving and its evolution remains highly dependent on a small number of employees with specific expertise. The loss of a key employee may jeopardize our existing or pending intellectual property or may prevent us from accessing the technical information and knowledge necessary to extend our portfolio of intellectual property. Furthermore, we believe the adverse effects that may result from losing a key employee’s participation cannot be compensated with any specific insurance policies, such as “key person” or “business life” insurance. If we are not successful in retaining key employees, our business and financial condition will suffer, and we may need to cease our operations.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our current research collaborators or scientific advisors terminate their relationships with us or develop relationships with a competitor, our ability to continue our business operations could be adversely affected.</w:t>
      </w:r>
    </w:p>
    <w:p>
      <w:pPr>
        <w:spacing w:after="0" w:line="15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We have relationships with unaffiliated research collaborators at academic and other institutions who conduct research at our request. These research collaborators are not our employees. As a result, we have limited control over their activities and, except as otherwise required by our collaboration agreements, can expect only limited amounts of their time to be dedicated to our activities. Our research and development activities may depend in part on the continuation of these collaborations. If any of these collaborations are terminated, we may not be able to enter into other acceptable collaborations. In addition, our existing collaborations may not be successful. Our research collaborators and scientific advisors may have relationships with other commercial entities, some of which could compete with us. Our research collaborators and scientific advisors sign agreements which provide for the confidentiality of our proprietary information and the results of studies conducted at our request. We may not, however, be able to maintain the confidentiality of our technology and other confidential information related to all collaborations. The dissemination of our confidential information could have a material adverse effect on our business.</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impacted by political events, war, terrorism, business interruptions and other geopolitical events and uncertainties beyond our control.</w:t>
      </w:r>
    </w:p>
    <w:p>
      <w:pPr>
        <w:spacing w:after="0" w:line="164"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War, terrorism, geopolitical uncertainties and other business interruptions could cause damage to, disrupt or cancel the conduct of our clinical studies on a global or regional basis, which could have a material adverse effect on our business, clinical sites or vendors with which we do business. Such events could also decrease patient demand to enroll in our clinical studies or make it difficult or impossible for us to deliver products and services to our clinical investigational sites. In addition, territorial invasions can lead to cybersecurity attacks on technology companies, such as ours, located far outside of the conflict zone. In the event of prolonged business interruptions due to geopolitical events, we could incur significant losses, require substantial recovery time and experience significant expenditures in order to resume our business or clinical operations. We have no operations in Israel, Russia or the Ukraine, but we do not and cannot know if the current uncertainties in these geopolitical areas may escalate and result in broad economic and security conditions or rationing of medical supplies, which could limit our ability to conduct clinical trials outside the U.S. or result in material implications for our business. In addition, our insurance policies typically contain a war exclusion of some description and we do not know how our insurers are likely to respond in the event of a loss alleged to have been caused by geopolitical uncertainties.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61 / 117</w:t>
      </w:r>
    </w:p>
    <w:p>
      <w:pPr>
        <w:sectPr>
          <w:pgSz w:w="12240" w:h="15840" w:orient="portrait"/>
          <w:cols w:equalWidth="0" w:num="1">
            <w:col w:w="10800"/>
          </w:cols>
          <w:pgMar w:left="720" w:top="788" w:right="720" w:bottom="0" w:gutter="0" w:footer="0" w:header="0"/>
        </w:sectPr>
      </w:pPr>
    </w:p>
    <w:bookmarkStart w:id="61" w:name="page62"/>
    <w:bookmarkEnd w:id="61"/>
    <w:p>
      <w:pPr>
        <w:jc w:val="both"/>
        <w:ind w:left="2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Our efforts to minimize the likelihood and impact of a cybersecurity incident may not be successful and our business could be negatively affected by a data breach or other cybersecurity threat or other disruption to our operations, which could result in legal claims against us or could give rise to substantial financial costs to redress any such cybersecurity incident and could harm our relationship with vendors, clinical study participants or regulators.</w:t>
      </w:r>
    </w:p>
    <w:p>
      <w:pPr>
        <w:spacing w:after="0" w:line="188"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Our business operation is data-intensive and relies extensively on the use of information technology. In addition, biopharmaceutical firms have been subject to an increasing number of cyberattacks in recent years, particularly cyberattacks targeting the theft of intellectual property and unauthorized access to proprietary clinical research data or sensitive patient information. Given the nature of our business, we are subject to a variety of evolving cybersecurity threats to our information technology infrastructure, including ransomware, unauthorized attempts to gain access to our operations or to sensitive patient information, denial-of-service attacks or various other methods of attacks. As discussed below, similar security threats may be faced by our vendors, consultants, suppliers, subcontractors, clinical investigational sites and non-clinical research labs.</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Such cybersecurity threats are prevalent and continue to rise, are increasingly difficult to detect, and come from a variety of sources, including traditional computer “hackers,” threat actors, nation states and rogue nation-state actors. We could also be impacted by the improper cyber conduct of our employees or others working on behalf of us who have access to our proprietary information or sensitive patient information, which could adversely affect our business and reputation. The occurrence of any material cybersecurity incident could cause substantial disruptions to our business operations. In addition to cyber threats, we may face threats to the security of our facilities or executives, which could materially disrupt our business if carried out.</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also work cooperatively with numerous vendors, consultants, suppliers, subcontractors, clinical investigational sites and non-clinical research labs, which have access to our proprietary or sensitive information. These third parties, which are typically outside our control, may have varying levels of cybersecurity expertise and safeguards and our ability to monitor their cybersecurity practices is limited. These third parties may not have adequate cybersecurity measures in place, and incidents or other interruptions suffered by them could cause us to experience adverse consequences. In particular, cybersecurity incidents in our drug supply chain could have an adverse impact on our ability to timely deliver product candidates to patients and physicians participating in our clinical studies, which could cause us to delay or cancel the completion of our ongoing clinical and non-clinical studies.</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If cybersecurity threats materialize and we or third-parties that we rely upon are unable to defend against them or to protect sensitive information, including through complying with evolving information security and data protection/privacy regulations, this could cause vendors, clinical study participants, clinical study investigation sites, patients, or governmental authorities to question the adequacy of the threat mitigation and detection processes and procedures that we and our vendors employ. Moreover, depending on the severity of an incident, our proprietary clinical research data, sensitive patient information, intellectual property, including trade secrets and research, development and technical know-how, could be compromised.</w:t>
      </w:r>
    </w:p>
    <w:p>
      <w:pPr>
        <w:spacing w:after="0" w:line="191" w:lineRule="exact"/>
        <w:rPr>
          <w:sz w:val="20"/>
          <w:szCs w:val="20"/>
          <w:color w:val="auto"/>
        </w:rPr>
      </w:pPr>
    </w:p>
    <w:p>
      <w:pPr>
        <w:jc w:val="both"/>
        <w:ind w:left="20" w:firstLine="360"/>
        <w:spacing w:after="0" w:line="265" w:lineRule="auto"/>
        <w:rPr>
          <w:sz w:val="20"/>
          <w:szCs w:val="20"/>
          <w:color w:val="auto"/>
        </w:rPr>
      </w:pPr>
      <w:r>
        <w:rPr>
          <w:rFonts w:ascii="Times New Roman" w:cs="Times New Roman" w:eastAsia="Times New Roman" w:hAnsi="Times New Roman"/>
          <w:sz w:val="19"/>
          <w:szCs w:val="19"/>
          <w:color w:val="auto"/>
        </w:rPr>
        <w:t>Nearly all of our operations carry cybersecurity risks, including risks that they could be breached or that we could fail to detect, prevent or combat attacks, which could result in financial losses and claims against us, and could harm our relationships with our vendors or clinical study participants. The costs and expenses to respond to a material cybersecurity incident or other security threat or disruption may be substantial for a company of our size. Further, our cybersecurity commercial insurance policy covering potential financial losses that may occur in the event we experience a cybersecurity incident may not be sufficient to cover any related damages or losses.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62 / 117</w:t>
      </w:r>
    </w:p>
    <w:p>
      <w:pPr>
        <w:sectPr>
          <w:pgSz w:w="12240" w:h="15840" w:orient="portrait"/>
          <w:cols w:equalWidth="0" w:num="1">
            <w:col w:w="10840"/>
          </w:cols>
          <w:pgMar w:left="680" w:top="788" w:right="720" w:bottom="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Risks Related to Financial Condition and Capital Requirements</w:t>
      </w:r>
    </w:p>
    <w:p>
      <w:pPr>
        <w:spacing w:after="0" w:line="2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in each period since our inception and anticipate that we will continue to incur net losses for the foreseeable future.</w:t>
      </w:r>
    </w:p>
    <w:p>
      <w:pPr>
        <w:spacing w:after="0" w:line="16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have incurred net losses in each reporting period since our inception, including a net loss of $91.0 million for the year ended December 31, 2025. As of December 31, 2025, we had an accumulated deficit of $496.1 million.</w:t>
      </w:r>
    </w:p>
    <w:p>
      <w:pPr>
        <w:spacing w:after="0" w:line="15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have invested significant financial resources in research and development activities for product candidates. We do not expect to generate revenue from product sales for several years, if at all. The amount of our future net losses will depend, in part, on the level of our future expenditures and revenue. Moreover, our net losses may fluctuate significantly from quarter to quarter and year to year, such that a period-to-period comparison of our results of operations may not be a good indicator of our future performance.</w:t>
      </w:r>
    </w:p>
    <w:p>
      <w:pPr>
        <w:spacing w:after="0" w:line="184"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expect to continue to incur operating expenses and losses for the foreseeable future. We anticipate our expenses will remain substantial as we:</w:t>
      </w:r>
    </w:p>
    <w:p>
      <w:pPr>
        <w:spacing w:after="0" w:line="165" w:lineRule="exact"/>
        <w:rPr>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research and discovery activities;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our current and any future product candidates through preclinical and clinical development;</w:t>
      </w:r>
    </w:p>
    <w:p>
      <w:pPr>
        <w:spacing w:after="0" w:line="56"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and conduct additional preclinical, clinical, or other studies for our product candidates;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with our CDMO’s for the manufacture of our product candidates;</w:t>
      </w:r>
    </w:p>
    <w:p>
      <w:pPr>
        <w:spacing w:after="0" w:line="58"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regulatory approvals and marketing authorizations for our product candidates;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protect, defend and enforce our intellectual property portfolio;</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55" w:lineRule="exact"/>
        <w:rPr>
          <w:rFonts w:ascii="Times New Roman" w:cs="Times New Roman" w:eastAsia="Times New Roman" w:hAnsi="Times New Roman"/>
          <w:sz w:val="20"/>
          <w:szCs w:val="20"/>
          <w:color w:val="auto"/>
        </w:rPr>
      </w:pPr>
    </w:p>
    <w:p>
      <w:pPr>
        <w:ind w:left="740" w:right="20" w:hanging="370"/>
        <w:spacing w:after="0" w:line="258" w:lineRule="auto"/>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additional internal infrastructure to support our continued research and development operations and any planned commercialization efforts in the future;</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any delays or encounter other issues related to our operations;</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the requirements and demands of being a public company; and</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defend against litigation, claims or other uncertainties that may arise from allegations made against us or our collaborators.</w:t>
      </w:r>
    </w:p>
    <w:p>
      <w:pPr>
        <w:spacing w:after="0" w:line="281"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Our prior losses and expected future losses have had and will continue to have an adverse effect on our stockholders’ equity and working capital. In any quarter, our operating results could be below the expectations of securities analysts or investors, which could cause our stock price to decline.</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have broad discretion in the use of our capital resources, including the net proceeds from any of our financing transactions, and we may not use them effectively.</w:t>
      </w:r>
    </w:p>
    <w:p>
      <w:pPr>
        <w:spacing w:after="0" w:line="160"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have broad discretion in the application of our capital resources, including the net proceeds from our financing transactions, and investors will not have the opportunity to opine on whether such resources are being used appropriately. We could spend such capital resources in ways that vary substantially from their initially communicated intended use, do not improve our results of operations or enhance the value of our common stock. Our failure to apply these funds effectively could result in financial losses that could have a material adverse effect on our business, cause the price of our common stock to decline and delay the development of our product candidates. Pending their use, we may invest available capital resources, including net proceeds from our financing transactions, in a manner that does not produce income or that loses value.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63 / 117</w:t>
      </w:r>
    </w:p>
    <w:p>
      <w:pPr>
        <w:sectPr>
          <w:pgSz w:w="12240" w:h="15840" w:orient="portrait"/>
          <w:cols w:equalWidth="0" w:num="1">
            <w:col w:w="10800"/>
          </w:cols>
          <w:pgMar w:left="720" w:top="784" w:right="720" w:bottom="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 product revenues and may never achieve revenues or profitability based on product revenues.</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product candidates with significant commercial value. This is a significant endeavor that few early-stage biopharmaceutical companies can successfully achieve. Our ability to generate revenue and achieve profitability depends on many factors, including:</w:t>
      </w:r>
    </w:p>
    <w:p>
      <w:pPr>
        <w:spacing w:after="0" w:line="192" w:lineRule="exact"/>
        <w:rPr>
          <w:sz w:val="20"/>
          <w:szCs w:val="20"/>
          <w:color w:val="auto"/>
        </w:rPr>
      </w:pPr>
    </w:p>
    <w:p>
      <w:pPr>
        <w:ind w:left="740" w:hanging="370"/>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completing research and preclinical and clinical development of our product candidates;</w:t>
      </w:r>
    </w:p>
    <w:p>
      <w:pPr>
        <w:spacing w:after="0" w:line="55" w:lineRule="exact"/>
        <w:rPr>
          <w:rFonts w:ascii="Times New Roman" w:cs="Times New Roman" w:eastAsia="Times New Roman" w:hAnsi="Times New Roman"/>
          <w:sz w:val="20"/>
          <w:szCs w:val="20"/>
          <w:color w:val="auto"/>
        </w:rPr>
      </w:pPr>
    </w:p>
    <w:p>
      <w:pPr>
        <w:ind w:left="740" w:hanging="370"/>
        <w:spacing w:after="0" w:line="258"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regulatory approvals and marketing authorizations for product candidates for which we successfully complete clinical development;</w:t>
      </w:r>
    </w:p>
    <w:p>
      <w:pPr>
        <w:spacing w:after="0" w:line="1" w:lineRule="exact"/>
        <w:rPr>
          <w:rFonts w:ascii="Times New Roman" w:cs="Times New Roman" w:eastAsia="Times New Roman" w:hAnsi="Times New Roman"/>
          <w:sz w:val="20"/>
          <w:szCs w:val="20"/>
          <w:color w:val="auto"/>
        </w:rPr>
      </w:pPr>
    </w:p>
    <w:p>
      <w:pPr>
        <w:jc w:val="both"/>
        <w:ind w:left="740" w:hanging="370"/>
        <w:spacing w:after="0" w:line="243"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for our product candidates;</w:t>
      </w:r>
    </w:p>
    <w:p>
      <w:pPr>
        <w:spacing w:after="0" w:line="2"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assessing, acquiring, and/or developing new product candidates;</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negotiating favorable terms in any collaboration, licensing, or other arrangements into which we may enter;</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any competing technological and market developments;</w:t>
      </w:r>
    </w:p>
    <w:p>
      <w:pPr>
        <w:spacing w:after="0" w:line="55" w:lineRule="exact"/>
        <w:rPr>
          <w:rFonts w:ascii="Times New Roman" w:cs="Times New Roman" w:eastAsia="Times New Roman" w:hAnsi="Times New Roman"/>
          <w:sz w:val="20"/>
          <w:szCs w:val="20"/>
          <w:color w:val="auto"/>
        </w:rPr>
      </w:pPr>
    </w:p>
    <w:p>
      <w:pPr>
        <w:ind w:left="740" w:hanging="370"/>
        <w:spacing w:after="0" w:line="259" w:lineRule="auto"/>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protecting, expanding, and enforcing our portfolio of intellectual property rights, including patents, trade secrets, and know-how; and</w:t>
      </w:r>
    </w:p>
    <w:p>
      <w:pPr>
        <w:ind w:left="740" w:hanging="370"/>
        <w:spacing w:after="0"/>
        <w:tabs>
          <w:tab w:leader="none" w:pos="7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256"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FDA or foreign regulatory agencies to perform studies in addition to those that we currently anticipate, or if there are any delays in any of our clinical studies or the development of any of our product candidates.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require additional capital to fund our operations and to complete the development of our product candidates. A failure to obtain this necessary capital on acceptable terms, or at all, could force us to delay, limit, reduce, or terminate our commercialization efforts, product development, or other operations.</w:t>
      </w:r>
    </w:p>
    <w:p>
      <w:pPr>
        <w:spacing w:after="0" w:line="17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operations have required substantial amounts of cash since inception, and we expect our expenses to remain substantial for the foreseeable future. To date, we have financed our operations primarily through the sale of equity securities, research grants and payments received from prior third-party collaborations. Developing our product candidates and conducting clinical studies for the treatment of neurodegenerative diseases, including TSC-related epilepsy, will require substantial amounts of capital. We will also require a significant amount of capital to commercialize any approved products.</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9"/>
          <w:szCs w:val="19"/>
          <w:color w:val="auto"/>
        </w:rPr>
        <w:t>As of December 31, 2025, we had cash and cash equivalents of $95.5 million. Based on our current operating plan, we believe that our existing cash and cash equivalents will be sufficient to fund our projected operations for at least the next 12 months. Our estimate as to how long we expect our existing cash and cash equivalents to be available to fund our operations is a forward-looking statement, based on assumptions that may prove inaccurate, and we could use our available capital resources sooner than we currently expect. In addition, changing circumstances may cause us to increase our spending significantly faster than we currently anticipate, and we may need to spend more money than currently expected because of currently unanticipated circumstances, which may be beyond our control. We may need to raise additional funds sooner than we anticipate if we choose to expand more rapidly than we presently anticipate.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64 / 117</w:t>
      </w:r>
    </w:p>
    <w:p>
      <w:pPr>
        <w:sectPr>
          <w:pgSz w:w="12240" w:h="15840" w:orient="portrait"/>
          <w:cols w:equalWidth="0" w:num="1">
            <w:col w:w="10800"/>
          </w:cols>
          <w:pgMar w:left="720" w:top="788" w:right="720" w:bottom="0" w:gutter="0" w:footer="0" w:header="0"/>
        </w:sectPr>
      </w:pPr>
    </w:p>
    <w:bookmarkStart w:id="64" w:name="page65"/>
    <w:bookmarkEnd w:id="64"/>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We may require additional capital for the further development of our product candidates. Additional capital may not be available when we need it, or on terms acceptable to us or at all. We have no committed source of additional capital. If adequate capital is not available to us on a timely basis, we may be required to significantly delay, limit, reduce or terminate our research and development programs or the commercialization of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w:t>
      </w:r>
    </w:p>
    <w:p>
      <w:pPr>
        <w:spacing w:after="0" w:line="188"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pharmaceutical partners, we may have to relinquish valuable rights to our technologies, future revenue streams, research programs, or product candidates, or grant licenses on terms that may not be favorable to us.</w:t>
      </w:r>
    </w:p>
    <w:p>
      <w:pPr>
        <w:spacing w:after="0" w:line="191"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Global credit and financial market conditions could negatively impact the value of our portfolio of cash equivalents and our ability to meet our financing objectives.</w:t>
      </w:r>
    </w:p>
    <w:p>
      <w:pPr>
        <w:spacing w:after="0" w:line="160"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Our cash and cash equivalents are generally maintained in highly liquid investments with original maturities of three months or less at the time of purchase. While, as of the date of this filing, we are not aware of any downgrades, material losses, or other significant deterioration in the fair value of our cash equivalents since December 31, 2025, no assurance can be given that deterioration in conditions of the global credit and financial markets would not negatively impact our current portfolio of cash equivalents or our ability to meet our financing objectives.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Risks Related to the Ownership of Our Common Stock</w:t>
      </w:r>
    </w:p>
    <w:p>
      <w:pPr>
        <w:spacing w:after="0" w:line="235"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do not know whether a sufficient market will continue to develop for our securities or what the market price of our securities will be, and, as a result, it may be difficult for investors to sell shares of our common stock.</w:t>
      </w:r>
    </w:p>
    <w:p>
      <w:pPr>
        <w:spacing w:after="0" w:line="16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If a market for our common stock is not sustained, it may be difficult to sell shares of our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65 / 117</w:t>
      </w:r>
    </w:p>
    <w:p>
      <w:pPr>
        <w:sectPr>
          <w:pgSz w:w="12240" w:h="15840" w:orient="portrait"/>
          <w:cols w:equalWidth="0" w:num="1">
            <w:col w:w="10820"/>
          </w:cols>
          <w:pgMar w:left="700" w:top="788" w:right="720" w:bottom="0" w:gutter="0" w:footer="0" w:header="0"/>
        </w:sectPr>
      </w:pPr>
    </w:p>
    <w:bookmarkStart w:id="65" w:name="page66"/>
    <w:bookmarkEnd w:id="65"/>
    <w:p>
      <w:pPr>
        <w:jc w:val="both"/>
        <w:ind w:lef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has historically been highly volatile, and we expect it to continue to be volatile, which could result in substantial losses for investors who purchase our shares.</w:t>
      </w:r>
    </w:p>
    <w:p>
      <w:pPr>
        <w:spacing w:after="0" w:line="164"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market price of our common stock has historically been highly volatile. For example, the closing price of our common stock has fluctuated from a low of $1.19 to a high of $4.64 over the 12 months preceding the filing date of this Annual Report on Form 10-K. Some of the factors that may cause the market price of our common stock to fluctuate include:</w:t>
      </w:r>
    </w:p>
    <w:p>
      <w:pPr>
        <w:spacing w:after="0" w:line="182" w:lineRule="exact"/>
        <w:rPr>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existing or new competitive products or technologies;</w:t>
      </w:r>
    </w:p>
    <w:p>
      <w:pPr>
        <w:spacing w:after="0" w:line="55" w:lineRule="exact"/>
        <w:rPr>
          <w:rFonts w:ascii="Times New Roman" w:cs="Times New Roman" w:eastAsia="Times New Roman" w:hAnsi="Times New Roman"/>
          <w:sz w:val="20"/>
          <w:szCs w:val="20"/>
          <w:color w:val="auto"/>
        </w:rPr>
      </w:pPr>
    </w:p>
    <w:p>
      <w:pPr>
        <w:ind w:left="760" w:right="20" w:hanging="370"/>
        <w:spacing w:after="0" w:line="257" w:lineRule="auto"/>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results of clinical studies for our current product candidates and any future product candidates that we may develop;</w:t>
      </w: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discontinuation of any of our product development and research programs;</w:t>
      </w:r>
    </w:p>
    <w:p>
      <w:pPr>
        <w:spacing w:after="0" w:line="32" w:lineRule="exact"/>
        <w:rPr>
          <w:rFonts w:ascii="Times New Roman" w:cs="Times New Roman" w:eastAsia="Times New Roman" w:hAnsi="Times New Roman"/>
          <w:sz w:val="20"/>
          <w:szCs w:val="20"/>
          <w:color w:val="auto"/>
        </w:rPr>
      </w:pPr>
    </w:p>
    <w:p>
      <w:pPr>
        <w:ind w:left="760" w:hanging="370"/>
        <w:spacing w:after="0" w:line="257" w:lineRule="auto"/>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preclinical studies, clinical studies, or regulatory approvals of product candidates of our competitors, or announcements about new research programs or product candidates of our competitors;</w:t>
      </w: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32"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55" w:lineRule="exact"/>
        <w:rPr>
          <w:rFonts w:ascii="Times New Roman" w:cs="Times New Roman" w:eastAsia="Times New Roman" w:hAnsi="Times New Roman"/>
          <w:sz w:val="20"/>
          <w:szCs w:val="20"/>
          <w:color w:val="auto"/>
        </w:rPr>
      </w:pPr>
    </w:p>
    <w:p>
      <w:pPr>
        <w:ind w:left="760" w:right="20" w:hanging="370"/>
        <w:spacing w:after="0" w:line="259" w:lineRule="auto"/>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research programs, clinical development programs, or product candidates that we may develop;</w:t>
      </w: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efforts to develop additional product candidates or products;</w:t>
      </w:r>
    </w:p>
    <w:p>
      <w:pPr>
        <w:spacing w:after="0" w:line="3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estimates as to financial results or development timelines;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us, our insiders, or other stockholders;</w:t>
      </w:r>
    </w:p>
    <w:p>
      <w:pPr>
        <w:spacing w:after="0" w:line="55" w:lineRule="exact"/>
        <w:rPr>
          <w:rFonts w:ascii="Times New Roman" w:cs="Times New Roman" w:eastAsia="Times New Roman" w:hAnsi="Times New Roman"/>
          <w:sz w:val="20"/>
          <w:szCs w:val="20"/>
          <w:color w:val="auto"/>
        </w:rPr>
      </w:pPr>
    </w:p>
    <w:p>
      <w:pPr>
        <w:ind w:left="760" w:right="360" w:hanging="370"/>
        <w:spacing w:after="0" w:line="258" w:lineRule="auto"/>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of our stock, in which a seller sells shares of our stock that the seller has borrowed from a third party, which often occurs when a short seller expects the price of our common stock to decline;</w:t>
      </w:r>
    </w:p>
    <w:p>
      <w:pPr>
        <w:spacing w:after="0" w:line="1"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estimates or recommendations by securities analysts, if any, that cover our stock;</w:t>
      </w:r>
    </w:p>
    <w:p>
      <w:pPr>
        <w:spacing w:after="0" w:line="30"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55"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 and</w:t>
      </w:r>
    </w:p>
    <w:p>
      <w:pPr>
        <w:spacing w:after="0" w:line="58" w:lineRule="exact"/>
        <w:rPr>
          <w:rFonts w:ascii="Times New Roman" w:cs="Times New Roman" w:eastAsia="Times New Roman" w:hAnsi="Times New Roman"/>
          <w:sz w:val="20"/>
          <w:szCs w:val="20"/>
          <w:color w:val="auto"/>
        </w:rPr>
      </w:pPr>
    </w:p>
    <w:p>
      <w:pPr>
        <w:ind w:left="760" w:hanging="370"/>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litigation, regardless of merit.</w:t>
      </w:r>
    </w:p>
    <w:p>
      <w:pPr>
        <w:spacing w:after="0" w:line="282"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In recent years, the stock market in general, Nasdaq, and the markets for early-stage companies and pharmaceutical and biotechnology companies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are currently and may become the target of securities litigation in the future. Securities litigation could result in substantial costs and divert management’s attention and resources from our business.</w:t>
      </w:r>
    </w:p>
    <w:p>
      <w:pPr>
        <w:spacing w:after="0" w:line="191" w:lineRule="exact"/>
        <w:rPr>
          <w:sz w:val="20"/>
          <w:szCs w:val="20"/>
          <w:color w:val="auto"/>
        </w:rPr>
      </w:pPr>
    </w:p>
    <w:p>
      <w:pPr>
        <w:ind w:left="20"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analysts do not publish research or reports about our business, or we are the subject of negative publicity, the price of our stock could decline.</w:t>
      </w:r>
    </w:p>
    <w:p>
      <w:pPr>
        <w:spacing w:after="0" w:line="158"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The trading market for our securities depends, in part, on the research and reports that securities or industry analysts publish about us or our business. We do not control these analysts. If one or more of the analysts who cover us downgrade our stock or publish inaccurate or unfavorable evaluations of our company or our stock, the price of our securities could decline. If one or more of these analysts cease coverage of our company or fail to publish reports covering our company regularly, our stock may lose visibility in the market, which in turn could cause the price of our securities to decline. In addition, if we are the subject of negative publicity, whether from an analyst, academic, social media, industry group or the general or financial press, the price of our securities may decline.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66 / 117</w:t>
      </w:r>
    </w:p>
    <w:p>
      <w:pPr>
        <w:sectPr>
          <w:pgSz w:w="12240" w:h="15840" w:orient="portrait"/>
          <w:cols w:equalWidth="0" w:num="1">
            <w:col w:w="10820"/>
          </w:cols>
          <w:pgMar w:left="700" w:top="788" w:right="720" w:bottom="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Risk Factors</w:t>
      </w:r>
    </w:p>
    <w:p>
      <w:pPr>
        <w:spacing w:after="0" w:line="22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effective internal controls, our business, financial position, and results of operations could be adversely affected.</w:t>
      </w:r>
    </w:p>
    <w:p>
      <w:pPr>
        <w:spacing w:after="0" w:line="161"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9"/>
          <w:szCs w:val="19"/>
          <w:color w:val="auto"/>
        </w:rPr>
        <w:t>As a smaller reporting company, our independent registered public accounting firm is not required to conduct, and has not conducted, an audit of our internal control over financial reporting. It is possible that, had our independent registered public accounting firm conducted an audit of our internal control over financial reporting, such firm might have identified material weaknesses and deficiencies that we have not identified. If we or our independent auditors discover a material weakness, the disclosure of that fact, even if quickly remedied, could adversely affect the market price and trading liquidity of our common stock, cause investors to lose confidence in our financial reporting and generally materially adversely impact our business and financial condition.</w:t>
      </w:r>
    </w:p>
    <w:p>
      <w:pPr>
        <w:spacing w:after="0" w:line="17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p>
    <w:p>
      <w:pPr>
        <w:spacing w:after="0" w:line="187"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consolidated financial statements for external purposes in accordance with accounting principles generally accepted in the U.S. Any failure to maintain effective internal controls, or if our independent registered public accounting firm is unable to attest to the effectiveness of our internal control over financial reporting, could have an adverse effect on our business, financial position,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Delaware law may prevent or delay removal of incumbent management or a change of control.</w:t>
      </w:r>
    </w:p>
    <w:p>
      <w:pPr>
        <w:spacing w:after="0" w:line="160"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Anti -takeover provisions of our amended and restated certificate of incorporation and amended and restated bylaws and Delaware law may have the effect of deterring or delaying attempts by our stockholders to remove or replace management, engage in proxy contests and effect changes in control.</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Key provisions of our current charter documents include:</w:t>
      </w:r>
    </w:p>
    <w:p>
      <w:pPr>
        <w:spacing w:after="0" w:line="236" w:lineRule="exact"/>
        <w:rPr>
          <w:sz w:val="20"/>
          <w:szCs w:val="20"/>
          <w:color w:val="auto"/>
        </w:rPr>
      </w:pPr>
    </w:p>
    <w:p>
      <w:pPr>
        <w:ind w:left="740" w:hanging="370"/>
        <w:spacing w:after="0"/>
        <w:tabs>
          <w:tab w:leader="none" w:pos="7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classified board so that only one of the three classes of directors on our Board of Directors (the “Board”) is elected each year;</w:t>
      </w:r>
    </w:p>
    <w:p>
      <w:pPr>
        <w:spacing w:after="0" w:line="67" w:lineRule="exact"/>
        <w:rPr>
          <w:rFonts w:ascii="Times New Roman" w:cs="Times New Roman" w:eastAsia="Times New Roman" w:hAnsi="Times New Roman"/>
          <w:sz w:val="19"/>
          <w:szCs w:val="19"/>
          <w:color w:val="auto"/>
        </w:rPr>
      </w:pPr>
    </w:p>
    <w:p>
      <w:pPr>
        <w:ind w:left="740" w:hanging="370"/>
        <w:spacing w:after="0"/>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elimination of cumulative voting in the election of directors;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procedures for advance notification of stockholder nominations and proposals;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amend our bylaws without stockholder approval; and</w:t>
      </w:r>
    </w:p>
    <w:p>
      <w:pPr>
        <w:spacing w:after="0" w:line="55" w:lineRule="exact"/>
        <w:rPr>
          <w:rFonts w:ascii="Times New Roman" w:cs="Times New Roman" w:eastAsia="Times New Roman" w:hAnsi="Times New Roman"/>
          <w:sz w:val="20"/>
          <w:szCs w:val="20"/>
          <w:color w:val="auto"/>
        </w:rPr>
      </w:pPr>
    </w:p>
    <w:p>
      <w:pPr>
        <w:ind w:left="740" w:right="20" w:hanging="370"/>
        <w:spacing w:after="0" w:line="277" w:lineRule="auto"/>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the Board to issue up to 10,000,000 shares of preferred stock without stockholder approval upon the terms and conditions and with the rights, privileges and preferences as the Board may determine.</w:t>
      </w:r>
    </w:p>
    <w:p>
      <w:pPr>
        <w:spacing w:after="0" w:line="165"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 addition, as a Delaware corporation, we are subject to Delaware law, including Section 203 of the Delaware General Corporation Law. In general, Section 203 prohibits a Delaware corporation from engaging in any business combination with any interested stockholder for a period of three years following the date that the stockholder became an interested stockholder unless certain specific requirements are met as set forth in Section 203.</w:t>
      </w:r>
    </w:p>
    <w:p>
      <w:pPr>
        <w:spacing w:after="0" w:line="18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These provisions, alone or together, could have the effect of deterring or delaying changes in incumbent management, proxy contests or changes in control.</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bylaws provide that the federal district courts of the United States of America shall be the exclusive forum for the resolution of any complaint asserting a cause of action arising under the Securities Laws of 1933, which could limit our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ability to obtain a favorable judicial forum for disputes with us or our directors, officers or employees.</w:t>
      </w:r>
    </w:p>
    <w:p>
      <w:pPr>
        <w:spacing w:after="0" w:line="18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Our amended and restated bylaws provide that the federal district courts of the United States of America shall be the exclusive forum for the resolution of any complaint asserting a cause of action arising under the Securities Act of 1933.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67 / 117</w:t>
      </w:r>
    </w:p>
    <w:p>
      <w:pPr>
        <w:sectPr>
          <w:pgSz w:w="12240" w:h="15840" w:orient="portrait"/>
          <w:cols w:equalWidth="0" w:num="1">
            <w:col w:w="10800"/>
          </w:cols>
          <w:pgMar w:left="720" w:top="788" w:right="720" w:bottom="0" w:gutter="0" w:footer="0" w:header="0"/>
        </w:sectPr>
      </w:pPr>
    </w:p>
    <w:bookmarkStart w:id="67" w:name="page68"/>
    <w:bookmarkEnd w:id="67"/>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While the Delaware courts have determined that such choice of forum provisions are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7"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which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bylaws to be inapplicable or unenforceable in an action, we may incur further significant additional costs associated with resolving such action in other jurisdictions, all of which could harm our business.</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Changes in our ownership could limit our ability to utilize net operating loss carryforwards.</w:t>
      </w:r>
    </w:p>
    <w:p>
      <w:pPr>
        <w:spacing w:after="0" w:line="231"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As of December 31, 2025, we had aggregate federal net operating loss carryforwards of approximately $373.8 million, which begin to expire in 2029. Under Section 382 of the Internal Revenue Code of 1986, as amended,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rolling three-year period. Any such limitation may significantly reduce our ability to utilize our net operating loss carryforwards and tax credit carryforwards. Any such limitation, whether as the result of past offerings, sales of our common stock by our existing stockholders, the issuance of shares of common stock as a result of the exercise of warrants or additional sales of our common stock by us in the future could have a material adverse effect on our results of operations in future years. We have not completed a study to assess whether an ownership change for purposes of Section 382 has occurred.</w:t>
      </w:r>
    </w:p>
    <w:p>
      <w:pPr>
        <w:spacing w:after="0" w:line="195" w:lineRule="exact"/>
        <w:rPr>
          <w:sz w:val="20"/>
          <w:szCs w:val="20"/>
          <w:color w:val="auto"/>
        </w:rPr>
      </w:pPr>
    </w:p>
    <w:p>
      <w:pPr>
        <w:jc w:val="both"/>
        <w:ind w:lef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sell additional equity or debt securities to fund our operations, and have outstanding securities exercisable for our common stock, which may result in dilution to our stockholders and impose restrictions on our business.</w:t>
      </w:r>
    </w:p>
    <w:p>
      <w:pPr>
        <w:spacing w:after="0" w:line="160" w:lineRule="exact"/>
        <w:rPr>
          <w:sz w:val="20"/>
          <w:szCs w:val="20"/>
          <w:color w:val="auto"/>
        </w:rPr>
      </w:pPr>
    </w:p>
    <w:p>
      <w:pPr>
        <w:jc w:val="both"/>
        <w:ind w:left="20" w:firstLine="360"/>
        <w:spacing w:after="0" w:line="274" w:lineRule="auto"/>
        <w:rPr>
          <w:sz w:val="20"/>
          <w:szCs w:val="20"/>
          <w:color w:val="auto"/>
        </w:rPr>
      </w:pPr>
      <w:r>
        <w:rPr>
          <w:rFonts w:ascii="Times New Roman" w:cs="Times New Roman" w:eastAsia="Times New Roman" w:hAnsi="Times New Roman"/>
          <w:sz w:val="20"/>
          <w:szCs w:val="20"/>
          <w:color w:val="auto"/>
        </w:rPr>
        <w:t>In order to raise additional capital to support our operations, we may sell additional shares of our common stock or other securities convertible into or exchangeable for our common stock which could result in dilution our stockholders.</w:t>
      </w:r>
    </w:p>
    <w:p>
      <w:pPr>
        <w:spacing w:after="0" w:line="164"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We cannot assure you that we will be able to sell shares or other securities in any other offering at a price per share that is equal to or greater than the price per share paid by investors in prior offerings, and investors purchasing our shares or other securities in the future could have rights superior to existing shareholders. The price per share at which we sell additional shares of our common stock or securities convertible into or exchangeable for our common stock in future transactions may be higher or lower than the price per share in prior offerings. You may also be diluted upon the exercise of outstanding stock options as of December 31, 2025 to purchase approximately 4.2 million shares of our common stock at a weighted average price of $15.01 per share and the future issuance of up to approximately 0.5 million compensatory equity awards authorized under our 2018 Omnibus Incentive Plan. The issuance of such additional shares of common stock or the perception that issuances could occur, could result in significant downward pressure on our stock price.</w:t>
      </w:r>
    </w:p>
    <w:p>
      <w:pPr>
        <w:spacing w:after="0" w:line="19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On November 12, 2025, we entered into an at-the -market offering program (ATM) to sell, from time to time, shares of our common stock having an aggregate offering price of up to $50 million in common stock in transactions pursuant to a shelf registration statement that was declared effective by the SEC on December 5, 2025. As of December 31, 2025, $50 million of capacity remained under the ATM program.</w:t>
      </w:r>
    </w:p>
    <w:p>
      <w:pPr>
        <w:spacing w:after="0" w:line="184" w:lineRule="exact"/>
        <w:rPr>
          <w:sz w:val="20"/>
          <w:szCs w:val="20"/>
          <w:color w:val="auto"/>
        </w:rPr>
      </w:pPr>
    </w:p>
    <w:p>
      <w:pPr>
        <w:ind w:left="20"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estimates and judgments we make, or the assumptions on which we rely, in preparing our consolidated financial statements could prove inaccurate.</w:t>
      </w:r>
    </w:p>
    <w:p>
      <w:pPr>
        <w:spacing w:after="0" w:line="161" w:lineRule="exact"/>
        <w:rPr>
          <w:sz w:val="20"/>
          <w:szCs w:val="20"/>
          <w:color w:val="auto"/>
        </w:rPr>
      </w:pPr>
    </w:p>
    <w:p>
      <w:pPr>
        <w:jc w:val="both"/>
        <w:ind w:left="20" w:firstLine="360"/>
        <w:spacing w:after="0" w:line="243"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accounting principles generally accepted in the U.S. The preparation of these consolidated financial statements requires us to make estimates and judgments that affect the reported amounts of our assets, liabilities and expenses, the amounts of charges accrued by us and related disclosure of contingent assets and liabilities. Such estimates and judgments include development expenses, valuation of stock-based awards and income tax. We base our estimates on historical experience, facts and circumstances known to us and on various other assumptions that we believe to be reasonable under the circumstances. We cannot provide assurances, however, that our estimates, or the assumptions underlying them, will not change over time or otherwise prove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and cause our stock price to decline, which could in turn subject us to securities class action litigation.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68 / 117</w:t>
      </w:r>
    </w:p>
    <w:p>
      <w:pPr>
        <w:sectPr>
          <w:pgSz w:w="12240" w:h="15840" w:orient="portrait"/>
          <w:cols w:equalWidth="0" w:num="1">
            <w:col w:w="10820"/>
          </w:cols>
          <w:pgMar w:left="700" w:top="788" w:right="720" w:bottom="0" w:gutter="0" w:footer="0" w:header="0"/>
        </w:sectPr>
      </w:pPr>
    </w:p>
    <w:bookmarkStart w:id="68" w:name="page69"/>
    <w:bookmarkEnd w:id="68"/>
    <w:p>
      <w:pPr>
        <w:jc w:val="right"/>
        <w:ind w:right="4580"/>
        <w:spacing w:after="0"/>
        <w:rPr>
          <w:sz w:val="20"/>
          <w:szCs w:val="20"/>
          <w:color w:val="auto"/>
        </w:rPr>
      </w:pPr>
      <w:r>
        <w:rPr>
          <w:rFonts w:ascii="Times New Roman" w:cs="Times New Roman" w:eastAsia="Times New Roman" w:hAnsi="Times New Roman"/>
          <w:sz w:val="20"/>
          <w:szCs w:val="20"/>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69 / 117</w:t>
      </w:r>
    </w:p>
    <w:p>
      <w:pPr>
        <w:sectPr>
          <w:pgSz w:w="12240" w:h="15840" w:orient="portrait"/>
          <w:cols w:equalWidth="0" w:num="1">
            <w:col w:w="10080"/>
          </w:cols>
          <w:pgMar w:left="720" w:top="788" w:right="1440" w:bottom="0" w:gutter="0" w:footer="0" w:header="0"/>
        </w:sectPr>
      </w:pPr>
    </w:p>
    <w:bookmarkStart w:id="69" w:name="page70"/>
    <w:bookmarkEnd w:id="69"/>
    <w:p>
      <w:pPr>
        <w:ind w:left="4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20"/>
          <w:szCs w:val="20"/>
          <w:b w:val="1"/>
          <w:bCs w:val="1"/>
          <w:i w:val="1"/>
          <w:iCs w:val="1"/>
          <w:color w:val="auto"/>
        </w:rPr>
        <w:t>Unresolved Staff Comments</w:t>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i w:val="1"/>
          <w:iCs w:val="1"/>
          <w:color w:val="auto"/>
        </w:rPr>
        <w:t>Cybersecurity</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Risk Management and Strategy</w:t>
      </w:r>
    </w:p>
    <w:p>
      <w:pPr>
        <w:spacing w:after="0" w:line="229"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In the normal course of business, we collect and store sensitive information, including proprietary and confidential business information, intellectual property, information regarding clinical and non-clinical trials, sensitive third-party information and employee information.</w:t>
      </w:r>
    </w:p>
    <w:p>
      <w:pPr>
        <w:spacing w:after="0" w:line="18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have processes designed to protect our information systems, data, assets, infrastructure, and computing environments from cybersecurity threats and risks. Our cybersecurity strategy includes the use of managed detection and response services to monitor our network infrastructure and associated endpoints for possible cybersecurity threats. In addition, we use multi-factor authentication, perform periodical penetration testing and other logical, physical and technical controls designed to deter, prevent, mitigate and respond to cybersecurity threats. Further, our information systems include continuous alert plans, and we provide periodical cybersecurity reminders to our employees to emphasizes the importance of adherence to our security policies.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conduct organizational risk assessment, which help management in identifying data assets and recognizing and assessing potential threats, and investigating potential vulnerabilities. We are in the process of reviewing and implementing incremental information technology strategies to mitigate cybersecurity risks and their possible impacts. Risk assessments enable management to make risk management decisions and assign resources to mitigate risk. We also periodically engage third parties to assess the effectiveness of our cybersecurity practices.</w:t>
      </w:r>
    </w:p>
    <w:p>
      <w:pPr>
        <w:spacing w:after="0" w:line="187"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As of the date of this Annual Report, we do not believe that any past cybersecurity incidents that have been detected have materially affected, or are reasonably likely to materially affect, our business strategy, results of operations, or financial condition.</w:t>
      </w:r>
    </w:p>
    <w:p>
      <w:pPr>
        <w:spacing w:after="0" w:line="164" w:lineRule="exact"/>
        <w:rPr>
          <w:sz w:val="20"/>
          <w:szCs w:val="20"/>
          <w:color w:val="auto"/>
        </w:rPr>
      </w:pPr>
    </w:p>
    <w:p>
      <w:pPr>
        <w:ind w:left="20" w:right="20" w:firstLine="360"/>
        <w:spacing w:after="0" w:line="277" w:lineRule="auto"/>
        <w:rPr>
          <w:sz w:val="20"/>
          <w:szCs w:val="20"/>
          <w:color w:val="auto"/>
        </w:rPr>
      </w:pPr>
      <w:r>
        <w:rPr>
          <w:rFonts w:ascii="Times New Roman" w:cs="Times New Roman" w:eastAsia="Times New Roman" w:hAnsi="Times New Roman"/>
          <w:sz w:val="20"/>
          <w:szCs w:val="20"/>
          <w:color w:val="auto"/>
        </w:rPr>
        <w:t>See “Risk Factors - Risks Related to Our Business and Operations” for additional information about the risks to our business associated with cybersecurity or a breach or compromise to our information security systems.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227" w:lineRule="exact"/>
        <w:rPr>
          <w:sz w:val="20"/>
          <w:szCs w:val="20"/>
          <w:color w:val="auto"/>
        </w:rPr>
      </w:pPr>
    </w:p>
    <w:p>
      <w:pPr>
        <w:ind w:right="220" w:firstLine="360"/>
        <w:spacing w:after="0" w:line="252" w:lineRule="auto"/>
        <w:rPr>
          <w:sz w:val="20"/>
          <w:szCs w:val="20"/>
          <w:color w:val="auto"/>
        </w:rPr>
      </w:pPr>
      <w:r>
        <w:rPr>
          <w:rFonts w:ascii="Times New Roman" w:cs="Times New Roman" w:eastAsia="Times New Roman" w:hAnsi="Times New Roman"/>
          <w:sz w:val="20"/>
          <w:szCs w:val="20"/>
          <w:color w:val="auto"/>
        </w:rPr>
        <w:t>Our Director of Information Technology has responsibilities which include preventing and monitoring cybersecurity threats and utilizes the assistance of external vendors in this effort. Our Director of Information Technology regularly reports to senior management regarding the status of our cybersecurity program, emerging cybersecurity threats, long-term cybersecurity investments and strategies, and oversight of our cybersecurity profile.</w:t>
      </w:r>
    </w:p>
    <w:p>
      <w:pPr>
        <w:spacing w:after="0" w:line="186"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Our full Board of Directors oversees the risk management process for the Company, which includes identifying, assessing and managing enterprise-level risks. The Board administers this oversight function directly through the Board of Directors as a whole, as well as through its standing committees that address risks inherent in their respective areas of oversight. The risk oversight responsibility of the Board of Directors and its committees is supported by the management reporting processes, which are designed to provide visibility to the Board of Directors and to the personnel who are responsible for risk assessment and information about the identification, assessment and management of critical risks, and management’s risk mitigation strategies. Our cybersecurity risk program directly integrates and is intended to align with the Board of Directors’ overall risk management process.</w:t>
      </w: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235" w:lineRule="exact"/>
        <w:rPr>
          <w:sz w:val="20"/>
          <w:szCs w:val="20"/>
          <w:color w:val="auto"/>
        </w:rPr>
      </w:pPr>
    </w:p>
    <w:p>
      <w:pPr>
        <w:jc w:val="both"/>
        <w:ind w:left="40" w:firstLine="360"/>
        <w:spacing w:after="0" w:line="251" w:lineRule="auto"/>
        <w:rPr>
          <w:sz w:val="20"/>
          <w:szCs w:val="20"/>
          <w:color w:val="auto"/>
        </w:rPr>
      </w:pPr>
      <w:r>
        <w:rPr>
          <w:rFonts w:ascii="Times New Roman" w:cs="Times New Roman" w:eastAsia="Times New Roman" w:hAnsi="Times New Roman"/>
          <w:sz w:val="20"/>
          <w:szCs w:val="20"/>
          <w:color w:val="auto"/>
        </w:rPr>
        <w:t>We own an office complex in Austin, Texas, a portion of which serves as our corporate headquarters. Maintenance, physical facilities, leasing, property management and other key responsibilities related to property ownership are outsourced to professional real-estate managers. The office complex measures approximately 90,000 rentable square feet. We occupied approximately 25% of the property as of December 31, 2025.</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70 / 117</w:t>
      </w:r>
    </w:p>
    <w:p>
      <w:pPr>
        <w:sectPr>
          <w:pgSz w:w="12240" w:h="15840" w:orient="portrait"/>
          <w:cols w:equalWidth="0" w:num="1">
            <w:col w:w="10840"/>
          </w:cols>
          <w:pgMar w:left="680" w:top="829" w:right="720" w:bottom="0" w:gutter="0" w:footer="0" w:header="0"/>
        </w:sectPr>
      </w:pPr>
    </w:p>
    <w:bookmarkStart w:id="70" w:name="page71"/>
    <w:bookmarkEnd w:id="70"/>
    <w:p>
      <w:pPr>
        <w:ind w:left="20"/>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232"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We are, and from time to time, we may become involved in litigation or other legal proceedings and claims, including U.S. government inquiries, investigations and Citizen Petitions submitted to FDA. In addition, we have received and from time to time may receive inquiries from government authorities relating to matters arising from the ordinary course of business. The outcome of these proceedings is inherently uncertain. Regardless of outcome, legal proceedings can have an adverse impact on us because of defense and settlement costs, diversion of management resources, and other factors. At this time, no assessment can be made as to their likely outcome or whether the outcome will be material to us except as disclosed in this Annual Report on Form 10-K in Note 11 to our consolidated financial statements entitled, “Contingencies.” We believe that our total provisions for legal matters are adequate based upon currently available information. Additional information regarding our legal proceedings is included in the “Contingencies” note.</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line="307" w:lineRule="exact"/>
        <w:rPr>
          <w:sz w:val="20"/>
          <w:szCs w:val="20"/>
          <w:color w:val="auto"/>
        </w:rPr>
      </w:pPr>
    </w:p>
    <w:p>
      <w:pPr>
        <w:ind w:left="20" w:right="740"/>
        <w:spacing w:after="0" w:line="481" w:lineRule="auto"/>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20"/>
          <w:szCs w:val="20"/>
          <w:b w:val="1"/>
          <w:bCs w:val="1"/>
          <w:color w:val="auto"/>
        </w:rPr>
        <w:t xml:space="preserve"> Market Information</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Our common stock is quoted on Nasdaq, under the symbol "FLNA."</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32"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As of March 2, 2026, there were approximately 30 registered holders of record of our common stock. We believe the actual number of stockholders is greater than this number of record holders and includes stockholders who are beneficial owners but whose shares are held in street name by brokers and other nominees.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Sales of Non-Registered Securities</w:t>
      </w: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w:t>
      </w: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5"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We currently expect to retain future earnings, if any, for use in the operation and expansion of our business and, notwithstanding our special non -dividend distributions in December 2012 (of $0.75 per share of common stock totaling $ 34.0 million) and December 2010 (of $2.00 per share of common stock totaling $85.7 million), we do not anticipate paying any cash dividends in the foreseeable future.</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232" w:lineRule="exact"/>
        <w:rPr>
          <w:sz w:val="20"/>
          <w:szCs w:val="20"/>
          <w:color w:val="auto"/>
        </w:rPr>
      </w:pPr>
    </w:p>
    <w:p>
      <w:pPr>
        <w:ind w:right="980" w:firstLine="360"/>
        <w:spacing w:after="0" w:line="277"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156"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20"/>
          <w:szCs w:val="20"/>
          <w:b w:val="1"/>
          <w:bCs w:val="1"/>
          <w:i w:val="1"/>
          <w:iCs w:val="1"/>
          <w:color w:val="auto"/>
        </w:rPr>
        <w:t>[Reserved]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71 / 117</w:t>
      </w:r>
    </w:p>
    <w:p>
      <w:pPr>
        <w:sectPr>
          <w:pgSz w:w="12240" w:h="15840" w:orient="portrait"/>
          <w:cols w:equalWidth="0" w:num="1">
            <w:col w:w="10820"/>
          </w:cols>
          <w:pgMar w:left="700" w:top="1060" w:right="720" w:bottom="0" w:gutter="0" w:footer="0" w:header="0"/>
        </w:sectPr>
      </w:pPr>
    </w:p>
    <w:bookmarkStart w:id="71" w:name="page72"/>
    <w:bookmarkEnd w:id="71"/>
    <w:p>
      <w:pPr>
        <w:ind w:left="20"/>
        <w:spacing w:after="0"/>
        <w:tabs>
          <w:tab w:leader="none" w:pos="8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i w:val="1"/>
          <w:iCs w:val="1"/>
          <w:color w:val="auto"/>
        </w:rPr>
        <w:t>Management</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 Discussion and Analysis of Financial Condition and Results of Operations</w:t>
      </w:r>
    </w:p>
    <w:p>
      <w:pPr>
        <w:spacing w:after="0" w:line="234"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This discussion and analysis of our financial condition and results of operations should be read in conjunction with our consolidated financial statements and accompanying notes included elsewhere in this Annual Report on Form 10 -K. This discussion contains forward-looking statements that involve risk and uncertainties, such as statements of our plans, objectives, expectations, and intentions, that are based on the beliefs of our management. Operating results are not necessarily indicative of results that may occur in future periods. Factors that could cause or contribute to such differences include, but are not limited to, those discussed in the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section of this Annual Report on Form 10-K.</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Filana Therapeutics, Inc. (formerly Cassava Sciences, Inc.) is a clinical-stage biotechnology company based in Austin, Texas. Our mission is to develop transformative medicines to improve the lives of patients with CNS disorders, such as Tuberous Sclerosis Complex (TSC)-related epilepsy and other diseases associated with dysregulation or overexpression of filamin A. Our science is based on modulating the activity of a critical protein in the brain for patients with certain CNS disorders, such as TSC. Our lead therapeutic drug candidate, simufilam, was under clinical evaluation for the proposed treatment of Alzheimer’s disease in two Phase 3 clinical studies through 2024, when all ongoing clinical trials for simufilam in Alzheimer’s disease were discontinued. The phase out of the Company’s Alzheimer's disease development program was completed in the second quarter of 2025.</w:t>
      </w:r>
    </w:p>
    <w:p>
      <w:pPr>
        <w:spacing w:after="0" w:line="18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lead therapeutic product candidate, simufilam, is a proprietary small molecule oral treatment drug being studied for the treatment of TSC-related epilepsy. Simufilam was discovered and designed in-house and was characterized by our academic collaborators during research activities that were conducted from approximately 2008 to date.</w:t>
      </w:r>
    </w:p>
    <w:p>
      <w:pPr>
        <w:spacing w:after="0" w:line="180"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Simufilam is intended to modulate the activity of a protein called filamin A, which regulates diverse aspects of neuronal cell development. Our and our collaborators’ published studies have demonstrated that the combination of mTOR activation and filamin A overexpression causes cell overgrowth, abnormal connectivity, and brain malformations, leading to seizures in patients with TSC. While such seizures have historically been treated with mTOR inhibitors and other drugs, filamin A represents a novel target for the potential treatment of TSC -related epilepsy, independent of mTOR.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 Own or Control Worldwide Rights to Our Drug Development Program</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Our success depends in part on our ability to obtain, maintain, and enforce intellectual property protection for our product candidates, including simufilam, and related technologies. We seek to protect our proprietary position through a combination of patents, patent applications, trade secrets, know-how, and other intellectual property rights.</w:t>
      </w:r>
    </w:p>
    <w:p>
      <w:pPr>
        <w:spacing w:after="0" w:line="17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own or exclusively control a portfolio of issued patents and pending patent applications directed to simufilam and related diagnostic assets. These intellectual property rights include patents covering composition of matter for simufilam in the United States, Europe, Australia, Israel, and Canada, as well as patents covering certain methods of use of simufilam in the United States, Europe, and Japan. We also own pending patent applications covering diagnostic assets related to simufilam in the United States, Europe, Japan, China, Canada, and Australia, as well as additional pending patent applications covering other diagnostic assets in the United States, Europe, Japan, China, and Canada.</w:t>
      </w:r>
    </w:p>
    <w:p>
      <w:pPr>
        <w:spacing w:after="0" w:line="19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In the United States, our patent protection relating to simufilam, including its solid forms and methods of use for Alzheimer’s disease and other neurodegenerative diseases, consists of nine issued U.S. patents, with expiration dates ranging from 2029 to 2040, subject to potential patent term extensions and adjustments. We have filed corresponding foreign patent applications for each of these U.S. patent families where we believe such protection is commercially appropriate.</w:t>
      </w:r>
    </w:p>
    <w:p>
      <w:pPr>
        <w:spacing w:after="0" w:line="18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In addition to our owned intellectual property, 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Under this exclusive, worldwide license, we have the right to sublicense the licensed intellectual property. The license is subject to customary diligence obligations and includes milestone payments, royalties on net sales of licensed products, and other contingent payments, including payments tied to the transfer of any regulatory priority review voucher, if issued. As a result, commercial sales of simufilam or related products, if any, may be subject to royalty obligations to Yale.</w:t>
      </w:r>
    </w:p>
    <w:p>
      <w:pPr>
        <w:spacing w:after="0" w:line="191"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Except for intellectual property licensed from third parties, including pursuant to the License Agreement with Yale, we do not owe royalties or other payments to third parties with respect to our owned patents and patent applications covering simufilam.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Tuberous Sclerosis Complex (TSC)</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72 / 117</w:t>
      </w:r>
    </w:p>
    <w:p>
      <w:pPr>
        <w:sectPr>
          <w:pgSz w:w="12240" w:h="15840" w:orient="portrait"/>
          <w:cols w:equalWidth="0" w:num="1">
            <w:col w:w="10820"/>
          </w:cols>
          <w:pgMar w:left="700" w:top="1060" w:right="720" w:bottom="0" w:gutter="0" w:footer="0" w:header="0"/>
        </w:sectPr>
      </w:pPr>
    </w:p>
    <w:bookmarkStart w:id="72" w:name="page73"/>
    <w:bookmarkEnd w:id="72"/>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TSC is a genetic disorder that results from a mutation in the TSC1 or TSC2 genes. According to the Tuberous Sclerosis Alliance (TSCA), TSC is estimated to affect around 1 in 6,000 live births with approximately 50,000 people affected in the United States and more than one million worldwide. Clinical symptoms of TSC are variable and can impact organ systems with non-malignant tumors developing in brain, eyes, heart, kidney, skin and lungs. Interrelated neuropsychiatric manifestations of TSC such as intellectual disability, autism spectrum disorder, anxiety, aggression, attention deficit hyperactivity disorder, and sleep disturbance can significantly impact quality of life. Epilepsy is common in TSC, occurring in 84% of patients registered in the TSC Alliance Natural History Database with onset often occurring in their first year of life. Approximately 60 percent of TSC patients suffer from treatment-resistant seizures despite use of multiple anti-seizure medications. TSC-related epilepsy is associated with poor outcomes and increases the risk of cognitive deficits.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73 / 117</w:t>
      </w:r>
    </w:p>
    <w:p>
      <w:pPr>
        <w:sectPr>
          <w:pgSz w:w="12240" w:h="15840" w:orient="portrait"/>
          <w:cols w:equalWidth="0" w:num="1">
            <w:col w:w="10820"/>
          </w:cols>
          <w:pgMar w:left="700" w:top="788" w:right="720"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Preclinical Studies with Simufilam in Tuberous Sclerosis Complex</w:t>
      </w:r>
    </w:p>
    <w:p>
      <w:pPr>
        <w:spacing w:after="0" w:line="23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Preclinical research conducted at Yale indicates that simufilam (then PTI-125) may be effective in reducing TSC- related seizure activity. A study conducted by Angelique Bordey, PhD, at Yale and published in the peer-reviewed journal </w:t>
      </w:r>
      <w:r>
        <w:rPr>
          <w:rFonts w:ascii="Times New Roman" w:cs="Times New Roman" w:eastAsia="Times New Roman" w:hAnsi="Times New Roman"/>
          <w:sz w:val="20"/>
          <w:szCs w:val="20"/>
          <w:i w:val="1"/>
          <w:iCs w:val="1"/>
          <w:color w:val="auto"/>
        </w:rPr>
        <w:t>Neuron</w:t>
      </w:r>
      <w:r>
        <w:rPr>
          <w:rFonts w:ascii="Times New Roman" w:cs="Times New Roman" w:eastAsia="Times New Roman" w:hAnsi="Times New Roman"/>
          <w:sz w:val="20"/>
          <w:szCs w:val="20"/>
          <w:color w:val="auto"/>
        </w:rPr>
        <w:t xml:space="preserve"> in 2014 found overexpression of filamin A and neuronal abnormalities in brain tissue from TSC patients, as well as in brain tissue from mice that had been genetically altered to model TSC. The study further found that genetically normalizing filamin A expression in the mice prevented neuronal abnormalities. The paper, MEK-ERK1/2 -Dependent FLNA Overexpression Promotes Abnormal Dendritic Patterning in Tuberous Sclerosis Independent of mTOR (</w:t>
      </w:r>
      <w:r>
        <w:rPr>
          <w:rFonts w:ascii="Times New Roman" w:cs="Times New Roman" w:eastAsia="Times New Roman" w:hAnsi="Times New Roman"/>
          <w:sz w:val="20"/>
          <w:szCs w:val="20"/>
          <w:i w:val="1"/>
          <w:iCs w:val="1"/>
          <w:color w:val="auto"/>
        </w:rPr>
        <w:t>Neuron</w:t>
      </w:r>
      <w:r>
        <w:rPr>
          <w:rFonts w:ascii="Times New Roman" w:cs="Times New Roman" w:eastAsia="Times New Roman" w:hAnsi="Times New Roman"/>
          <w:sz w:val="20"/>
          <w:szCs w:val="20"/>
          <w:color w:val="auto"/>
        </w:rPr>
        <w:t>. 2014 Oct 1. PMID: 25277454), was co-authored by Zhang L, Bartley CM, Gong X, Hsieh LS, Lin TV and Feliciano DM.</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 xml:space="preserve">A later study conducted by Dr. Bordey and published in the peer-reviewed journal </w:t>
      </w:r>
      <w:r>
        <w:rPr>
          <w:rFonts w:ascii="Times New Roman" w:cs="Times New Roman" w:eastAsia="Times New Roman" w:hAnsi="Times New Roman"/>
          <w:sz w:val="20"/>
          <w:szCs w:val="20"/>
          <w:i w:val="1"/>
          <w:iCs w:val="1"/>
          <w:color w:val="auto"/>
        </w:rPr>
        <w:t>Science Translational Medicine</w:t>
      </w:r>
      <w:r>
        <w:rPr>
          <w:rFonts w:ascii="Times New Roman" w:cs="Times New Roman" w:eastAsia="Times New Roman" w:hAnsi="Times New Roman"/>
          <w:sz w:val="20"/>
          <w:szCs w:val="20"/>
          <w:color w:val="auto"/>
        </w:rPr>
        <w:t xml:space="preserve"> in 2020 likewise found elevated filamin A and neuronal abnormalities in brain tissue from patients with focal cortical dysplasia type II (FCDII), a genetic disorder with similar characteristics to TSC, as well as in the brains of mice that had been genetically altered to model TSC and FCDII. That study showed that normalizing filamin A expression in the mice through genetic knockdown both limited the neuronal abnormalities and reduced the frequency of epileptic seizures in the mice. This 2020 paper, Filamin A Inhibition Reduces Seizure Activity in a Mouse Model of Focal Cortical Malformations (</w:t>
      </w:r>
      <w:r>
        <w:rPr>
          <w:rFonts w:ascii="Times New Roman" w:cs="Times New Roman" w:eastAsia="Times New Roman" w:hAnsi="Times New Roman"/>
          <w:sz w:val="20"/>
          <w:szCs w:val="20"/>
          <w:i w:val="1"/>
          <w:iCs w:val="1"/>
          <w:color w:val="auto"/>
        </w:rPr>
        <w:t>Sci Transl Med</w:t>
      </w:r>
      <w:r>
        <w:rPr>
          <w:rFonts w:ascii="Times New Roman" w:cs="Times New Roman" w:eastAsia="Times New Roman" w:hAnsi="Times New Roman"/>
          <w:sz w:val="20"/>
          <w:szCs w:val="20"/>
          <w:color w:val="auto"/>
        </w:rPr>
        <w:t>. 2020 Feb 19. PMID: 32076941), was co-authored by Zhang L, Huang T, Teaw S, Nguyen LH, Hsieh LS, Gong X, and Lindsay Burns, a former employee of the Company.</w:t>
      </w:r>
    </w:p>
    <w:p>
      <w:pPr>
        <w:spacing w:after="0" w:line="191"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In this 2020 study, Dr. Bordey and her colleagues also studied the effect of treatment with simufilam in the mice that had been altered to model TSC and FCDII. The research showed that treatment with simufilam limited neuronal abnormalities and reduced seizure activity in the mouse model at a level similar to genetic knockdown of filamin A expression. Treatment with simufilam did not, however, affect the level of filamin A in the brains of the mice.</w:t>
      </w:r>
    </w:p>
    <w:p>
      <w:pPr>
        <w:spacing w:after="0" w:line="18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Dr. Bordey joined the Company as Senior Vice President, Neuroscience, on May 1, 2025, while continuing her tenured academic position at Yale School of Medicine on a part time basis. In connection with plans to initiate a clinical program in TSC -related epilepsy, the Company appointed Dr. Joseph Hulihan as Chief Medical Officer in August 2025. Dr. Hulihan, who brings over 25 years of industry experience, devotes approximately half of his professional time to the Company and will advise on the clinical development of simufilam.</w:t>
      </w:r>
    </w:p>
    <w:p>
      <w:pPr>
        <w:spacing w:after="0" w:line="187"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9"/>
          <w:szCs w:val="19"/>
          <w:color w:val="auto"/>
        </w:rPr>
        <w:t xml:space="preserve">In August 2025, the Company announced positive preclinical results of a study evaluating simufilam in a well-accepted mouse model of TSC -related epilepsy. The study was conducted in collaboration with the TSCA and the TSC Preclinical Consortium using an animal model of TSC -related epilepsy, the </w:t>
      </w:r>
      <w:r>
        <w:rPr>
          <w:rFonts w:ascii="Times New Roman" w:cs="Times New Roman" w:eastAsia="Times New Roman" w:hAnsi="Times New Roman"/>
          <w:sz w:val="19"/>
          <w:szCs w:val="19"/>
          <w:i w:val="1"/>
          <w:iCs w:val="1"/>
          <w:color w:val="auto"/>
        </w:rPr>
        <w:t>Tsc1</w:t>
      </w:r>
      <w:r>
        <w:rPr>
          <w:rFonts w:ascii="Times New Roman" w:cs="Times New Roman" w:eastAsia="Times New Roman" w:hAnsi="Times New Roman"/>
          <w:sz w:val="19"/>
          <w:szCs w:val="19"/>
          <w:color w:val="auto"/>
        </w:rPr>
        <w:t xml:space="preserve"> conditional knockout (CKO) mouse line (</w:t>
      </w:r>
      <w:r>
        <w:rPr>
          <w:rFonts w:ascii="Times New Roman" w:cs="Times New Roman" w:eastAsia="Times New Roman" w:hAnsi="Times New Roman"/>
          <w:sz w:val="19"/>
          <w:szCs w:val="19"/>
          <w:i w:val="1"/>
          <w:iCs w:val="1"/>
          <w:color w:val="auto"/>
        </w:rPr>
        <w:t>Tsc1</w:t>
      </w:r>
      <w:r>
        <w:rPr>
          <w:rFonts w:ascii="Times New Roman" w:cs="Times New Roman" w:eastAsia="Times New Roman" w:hAnsi="Times New Roman"/>
          <w:sz w:val="19"/>
          <w:szCs w:val="19"/>
          <w:color w:val="auto"/>
        </w:rPr>
        <w:t>- CKO). These mice develop spontaneous seizures and are used by the TSC Alliance to evaluate the effectiveness and safety of novel and repurposed therapeutics in the potential treatment of TSC-related epilepsy. The study was conducted by PsychoGenics, Inc., the TSC Preclinical Consortium’s research partner.</w:t>
      </w:r>
    </w:p>
    <w:p>
      <w:pPr>
        <w:spacing w:after="0" w:line="174"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Tsc1</w:t>
      </w:r>
      <w:r>
        <w:rPr>
          <w:rFonts w:ascii="Times New Roman" w:cs="Times New Roman" w:eastAsia="Times New Roman" w:hAnsi="Times New Roman"/>
          <w:sz w:val="20"/>
          <w:szCs w:val="20"/>
          <w:color w:val="auto"/>
        </w:rPr>
        <w:t>-CKO mice were treated with several doses of simufilam. Seizure activity was monitored for approximately three weeks after onset, and simufilam was evaluated against treatment with vehicle alone. The data showed that simufilam attenuated the progression of seizure activity, with a statistically significant correlation between simufilam dose and the number of seizures by the end of the study. Not all parameters measured reached statistical significance. The Company intends to present data and analyses in an upcoming scientific conference and publication.</w:t>
      </w:r>
    </w:p>
    <w:p>
      <w:pPr>
        <w:spacing w:after="0" w:line="18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Based on the results of these studies, the Company filed an Investigational New Drug (IND) application with the U.S. Food and Drug Administration (FDA) in order to initiate a proof-of-concept clinical trial for simufilam in TSC- related epilepsy. On December 15, 2025, the Company received a formal letter from FDA confirming that the proposed clinical trial is on full clinical hold subject to the Company providing FDA with additional information, including additional pre-clinical data, and modifying the protocol design.</w:t>
      </w:r>
    </w:p>
    <w:p>
      <w:pPr>
        <w:spacing w:after="0" w:line="186"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Company is working expeditiously to address the items identified in the letter. However, as announced on December 18, 2025, the Company no longer expects to initiate a proof-of- concept clinical trial for simufilam in TSC-related epilepsy in the first half of 2026. The updated timing for initiation of a clinical trial will depend on the Company’s ability to provide the requested information and on satisfactory completion of FDA’s review.</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74 / 117</w:t>
      </w:r>
    </w:p>
    <w:p>
      <w:pPr>
        <w:sectPr>
          <w:pgSz w:w="12240" w:h="15840" w:orient="portrait"/>
          <w:cols w:equalWidth="0" w:num="1">
            <w:col w:w="10820"/>
          </w:cols>
          <w:pgMar w:left="700" w:top="784" w:right="720"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License Agreement with Yale</w:t>
      </w:r>
    </w:p>
    <w:p>
      <w:pPr>
        <w:spacing w:after="0" w:line="23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Pursuant to the License Agreement, we have agreed to use reasonable commercial efforts to implement a plan designed for such development and commercialization.</w:t>
      </w:r>
    </w:p>
    <w:p>
      <w:pPr>
        <w:spacing w:after="0" w:line="187"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20"/>
          <w:szCs w:val="20"/>
          <w:color w:val="auto"/>
        </w:rPr>
        <w:t>In exchange for the rights acquired pursuant to the License Agreement, we paid Yale (i) a nominal upfront license fee, and agreed to pay (ii) payments upon the achievement of specified clinical, regulatory and commercial milestones, totaling up to $4.5 million and</w:t>
      </w:r>
    </w:p>
    <w:p>
      <w:pPr>
        <w:jc w:val="both"/>
        <w:ind w:firstLine="1"/>
        <w:spacing w:after="0" w:line="243" w:lineRule="auto"/>
        <w:tabs>
          <w:tab w:leader="none" w:pos="37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transfer to a third party of a regulatory priority review voucher, if issued, a low-to-mid double digit percentage of any consideration received for such transfer. We also agreed to pay Yale tiered royalties, ranging from a low- to mid- single digit percentage, on aggregate net sales of licensed products, subject to tiered minimum annual royalty payments ranging from the low- to mid- hundreds of thousands of dollars.</w:t>
      </w:r>
    </w:p>
    <w:p>
      <w:pPr>
        <w:spacing w:after="0" w:line="190"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 We may terminate the License Agreement: (i) at our option, upon specified advance notice to Yale and (ii) if Yale commits a material breach of the License Agreement that is not cured within a specified timeframe. Yale may terminate the License Agreement under specified circumstances, including if we (i) fail to make any payment due under the License Agreement and fail to cure such non-payment within a specified timeframe, (ii) commit a breach of the License Agreement that is not cured within a specified timeframe, (iii) default on a material obligation to any creditor, unless cured within a specified timeframe, (iv) fail to obtain or maintain insurance required by the License Agreement, (v) bring or assist a patent challenge against Yale (or if a sublicensee does so). In addition, the License Agreement will terminate automatically upon the occurrence of certain bankruptcy and insolvency events involving us.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License Agreement includes customary confidentiality, reporting and inspection, and indemnification provisions.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820"/>
          </w:cols>
          <w:pgMar w:left="700" w:top="55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color w:val="auto"/>
        </w:rPr>
        <w:t>75 / 117</w:t>
      </w:r>
    </w:p>
    <w:p>
      <w:pPr>
        <w:sectPr>
          <w:pgSz w:w="12240" w:h="15840" w:orient="portrait"/>
          <w:cols w:equalWidth="0" w:num="1">
            <w:col w:w="10820"/>
          </w:cols>
          <w:pgMar w:left="700" w:top="553" w:right="72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Financial Overview</w:t>
      </w:r>
    </w:p>
    <w:p>
      <w:pPr>
        <w:spacing w:after="0" w:line="23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We have yet to generate any revenues from product sales. We have an accumulated deficit of $496.1 million at December 31, 2025. These losses have resulted principally from costs incurred in connection with research and development activities, salaries and other personnel -related costs and general corporate expenses. Research and development activities include costs of preclinical and clinical studies as well as clinical supplies associated with our product candidates. Salaries and other personnel-related costs include stock-based compensation associated with options and other equity awards granted to employees and non-employees. Our operating results may fluctuate substantially from period to period as a result of the timing of preclinical activities, enrollment rates of clinical studies for our product candidates and our need for clinical supplies.</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believe that our cash and cash equivalents at December 31, 2025, will enable us to fund our operating expenses for at least the next 12 months. In addition, we may seek in the future to fund our operations through additional public or private equity or debt financings or other sources. However, we may be unable to raise additional funds or enter into such other arrangements when needed on favorable terms or at all. If we are unable to obtain financing or reach profitability, the related lack of liquidity will have a material adverse effect on our operations and future prospects, and we may have to significantly delay, scale back or discontinue the development and commercialization of simufilam, our lead drug candidate, or delay our efforts to expand our product pipeline.</w:t>
      </w:r>
    </w:p>
    <w:p>
      <w:pPr>
        <w:spacing w:after="0" w:line="19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expect to continue to use significant cash resources in our operations for the next several years. Our cash requirements for operating activities and capital expenditures may increase in the future as we:</w:t>
      </w:r>
    </w:p>
    <w:p>
      <w:pPr>
        <w:spacing w:after="0" w:line="163" w:lineRule="exact"/>
        <w:rPr>
          <w:sz w:val="20"/>
          <w:szCs w:val="20"/>
          <w:color w:val="auto"/>
        </w:rPr>
      </w:pPr>
    </w:p>
    <w:p>
      <w:pPr>
        <w:ind w:left="740" w:right="160" w:hanging="370"/>
        <w:spacing w:after="0" w:line="258" w:lineRule="auto"/>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with, and satisfactorily respond to, requests for additional information from the FDA concerning the clinical hold on our IND application for simufilam in TSC-related epilepsy;</w:t>
      </w:r>
    </w:p>
    <w:p>
      <w:pPr>
        <w:spacing w:after="0" w:line="1"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other preclinical and clinical studies for our product candidates, including simufilam for TSC-related epilepsy;</w:t>
      </w:r>
    </w:p>
    <w:p>
      <w:pPr>
        <w:spacing w:after="0" w:line="1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regulatory approvals for our product candidates;</w:t>
      </w:r>
    </w:p>
    <w:p>
      <w:pPr>
        <w:spacing w:after="0" w:line="30"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formulate, manufacture and commercialize our product candidates;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additional internal systems and develop new infrastructure;</w:t>
      </w:r>
    </w:p>
    <w:p>
      <w:pPr>
        <w:spacing w:after="0" w:line="58"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additional products or technologies, or expand the use of our technology;</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defend and expand the scope of our intellectual property; and</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 resources related to legal proceedings and claims, including U.S. government inquiries.</w:t>
      </w:r>
    </w:p>
    <w:p>
      <w:pPr>
        <w:spacing w:after="0" w:line="28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Product revenue will depend on our ability to receive regulatory approvals for, and successfully market, our product candidates. If our development efforts result in regulatory approval and successful commercialization of our product candidates, we expect to generate revenue from direct sales of our drugs and/or, if we license our drugs to future collaborators, from the receipt of license fees and royalties from sales of licensed products. We conduct our research and development programs through a combination of internal and collaborative programs. We rely on arrangements with universities, certain collaborators, CDMOs, CROs and clinical research sites for a significant portion of our product development efforts.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76 / 117</w:t>
      </w:r>
    </w:p>
    <w:p>
      <w:pPr>
        <w:sectPr>
          <w:pgSz w:w="12240" w:h="15840" w:orient="portrait"/>
          <w:cols w:equalWidth="0" w:num="1">
            <w:col w:w="10800"/>
          </w:cols>
          <w:pgMar w:left="720" w:top="784" w:right="720" w:bottom="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29"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focus substantially all of our research and development efforts in the development of simufilam. Research and development expenses for our investigational diagnostic product candidate, SavaDx, represented less than 1% of total research and development expenses for the periods presented. The SavaDx program was discontinued in mid-2025. The following table summarizes expenses by category for research and development efforts (in thousands):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60" w:type="dxa"/>
            <w:vAlign w:val="bottom"/>
            <w:tcBorders>
              <w:bottom w:val="single" w:sz="8" w:color="E3E3E3"/>
              <w:right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Phase 2 and Phase 3 clinical trials</w:t>
            </w:r>
          </w:p>
        </w:tc>
        <w:tc>
          <w:tcPr>
            <w:tcW w:w="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8,148</w:t>
            </w:r>
          </w:p>
        </w:tc>
        <w:tc>
          <w:tcPr>
            <w:tcW w:w="2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42,321</w:t>
            </w:r>
          </w:p>
        </w:tc>
        <w:tc>
          <w:tcPr>
            <w:tcW w:w="20" w:type="dxa"/>
            <w:vAlign w:val="bottom"/>
            <w:tcBorders>
              <w:bottom w:val="single" w:sz="8" w:color="E3E3E3"/>
            </w:tcBorders>
            <w:vMerge w:val="continue"/>
          </w:tcPr>
          <w:p>
            <w:pPr>
              <w:spacing w:after="0"/>
              <w:rPr>
                <w:sz w:val="20"/>
                <w:szCs w:val="20"/>
                <w:color w:val="auto"/>
              </w:rPr>
            </w:pPr>
          </w:p>
        </w:tc>
        <w:tc>
          <w:tcPr>
            <w:tcW w:w="200" w:type="dxa"/>
            <w:vAlign w:val="bottom"/>
            <w:tcBorders>
              <w:bottom w:val="single" w:sz="8" w:color="E3E3E3"/>
              <w:right w:val="single" w:sz="8" w:color="E3E3E3"/>
            </w:tcBorders>
            <w:shd w:val="clear" w:color="auto" w:fill="E3E3E3"/>
          </w:tcPr>
          <w:p>
            <w:pPr>
              <w:spacing w:after="0"/>
              <w:rPr>
                <w:sz w:val="20"/>
                <w:szCs w:val="20"/>
                <w:color w:val="auto"/>
              </w:rPr>
            </w:pPr>
          </w:p>
        </w:tc>
        <w:tc>
          <w:tcPr>
            <w:tcW w:w="360" w:type="dxa"/>
            <w:vAlign w:val="bottom"/>
            <w:tcBorders>
              <w:bottom w:val="single" w:sz="8" w:color="E3E3E3"/>
            </w:tcBorders>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71,087</w:t>
            </w:r>
          </w:p>
        </w:tc>
        <w:tc>
          <w:tcPr>
            <w:tcW w:w="10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Pre-clinical and Phase 1 studies</w:t>
            </w:r>
          </w:p>
        </w:tc>
        <w:tc>
          <w:tcPr>
            <w:tcW w:w="1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2,485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5,109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6,425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60" w:type="dxa"/>
            <w:vAlign w:val="bottom"/>
            <w:tcBorders>
              <w:right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Chemical, Manufacturing and Controls costs (“CMC costs”)</w:t>
            </w: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1,853</w:t>
            </w:r>
          </w:p>
        </w:tc>
        <w:tc>
          <w:tcPr>
            <w:tcW w:w="22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6,464</w:t>
            </w:r>
          </w:p>
        </w:tc>
        <w:tc>
          <w:tcPr>
            <w:tcW w:w="20" w:type="dxa"/>
            <w:vAlign w:val="bottom"/>
          </w:tcPr>
          <w:p>
            <w:pPr>
              <w:spacing w:after="0"/>
              <w:rPr>
                <w:sz w:val="20"/>
                <w:szCs w:val="20"/>
                <w:color w:val="auto"/>
              </w:rPr>
            </w:pPr>
          </w:p>
        </w:tc>
        <w:tc>
          <w:tcPr>
            <w:tcW w:w="200" w:type="dxa"/>
            <w:vAlign w:val="bottom"/>
            <w:tcBorders>
              <w:right w:val="single" w:sz="8" w:color="E3E3E3"/>
            </w:tcBorders>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2,910</w:t>
            </w: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Personnel related</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Borders>
              <w:right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7,159</w:t>
            </w:r>
          </w:p>
        </w:tc>
        <w:tc>
          <w:tcPr>
            <w:tcW w:w="220" w:type="dxa"/>
            <w:vAlign w:val="bottom"/>
            <w:tcBorders>
              <w:right w:val="single" w:sz="8" w:color="E3E3E3"/>
            </w:tcBorders>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6,492</w:t>
            </w:r>
          </w:p>
        </w:tc>
        <w:tc>
          <w:tcPr>
            <w:tcW w:w="20" w:type="dxa"/>
            <w:vAlign w:val="bottom"/>
          </w:tcPr>
          <w:p>
            <w:pPr>
              <w:spacing w:after="0"/>
              <w:rPr>
                <w:sz w:val="21"/>
                <w:szCs w:val="21"/>
                <w:color w:val="auto"/>
              </w:rPr>
            </w:pPr>
          </w:p>
        </w:tc>
        <w:tc>
          <w:tcPr>
            <w:tcW w:w="200" w:type="dxa"/>
            <w:vAlign w:val="bottom"/>
            <w:tcBorders>
              <w:right w:val="single" w:sz="8" w:color="E3E3E3"/>
            </w:tcBorders>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Other</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1,761</w:t>
            </w:r>
          </w:p>
        </w:tc>
        <w:tc>
          <w:tcPr>
            <w:tcW w:w="220" w:type="dxa"/>
            <w:vAlign w:val="bottom"/>
            <w:tcBorders>
              <w:bottom w:val="single" w:sz="8" w:color="E3E3E3"/>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2,611</w:t>
            </w:r>
          </w:p>
        </w:tc>
        <w:tc>
          <w:tcPr>
            <w:tcW w:w="20" w:type="dxa"/>
            <w:vAlign w:val="bottom"/>
          </w:tcPr>
          <w:p>
            <w:pPr>
              <w:spacing w:after="0"/>
              <w:rPr>
                <w:sz w:val="21"/>
                <w:szCs w:val="21"/>
                <w:color w:val="auto"/>
              </w:rPr>
            </w:pPr>
          </w:p>
        </w:tc>
        <w:tc>
          <w:tcPr>
            <w:tcW w:w="200" w:type="dxa"/>
            <w:vAlign w:val="bottom"/>
            <w:tcBorders>
              <w:bottom w:val="single" w:sz="8" w:color="E3E3E3"/>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100" w:type="dxa"/>
            <w:vAlign w:val="bottom"/>
            <w:tcBorders>
              <w:bottom w:val="single" w:sz="8" w:color="E3E3E3"/>
            </w:tcBorders>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606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26,590</w:t>
            </w:r>
          </w:p>
        </w:tc>
        <w:tc>
          <w:tcPr>
            <w:tcW w:w="22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69,637</w:t>
            </w:r>
          </w:p>
        </w:tc>
        <w:tc>
          <w:tcPr>
            <w:tcW w:w="20" w:type="dxa"/>
            <w:vAlign w:val="bottom"/>
            <w:tcBorders>
              <w:bottom w:val="single" w:sz="8" w:color="E3E3E3"/>
            </w:tcBorders>
          </w:tcPr>
          <w:p>
            <w:pPr>
              <w:spacing w:after="0"/>
              <w:rPr>
                <w:sz w:val="22"/>
                <w:szCs w:val="22"/>
                <w:color w:val="auto"/>
              </w:rPr>
            </w:pPr>
          </w:p>
        </w:tc>
        <w:tc>
          <w:tcPr>
            <w:tcW w:w="200" w:type="dxa"/>
            <w:vAlign w:val="bottom"/>
            <w:tcBorders>
              <w:bottom w:val="single" w:sz="8" w:color="E3E3E3"/>
              <w:right w:val="single" w:sz="8" w:color="E3E3E3"/>
            </w:tcBorders>
            <w:shd w:val="clear" w:color="auto" w:fill="E3E3E3"/>
          </w:tcPr>
          <w:p>
            <w:pPr>
              <w:spacing w:after="0"/>
              <w:rPr>
                <w:sz w:val="22"/>
                <w:szCs w:val="22"/>
                <w:color w:val="auto"/>
              </w:rPr>
            </w:pPr>
          </w:p>
        </w:tc>
        <w:tc>
          <w:tcPr>
            <w:tcW w:w="360" w:type="dxa"/>
            <w:vAlign w:val="bottom"/>
            <w:tcBorders>
              <w:bottom w:val="single" w:sz="8" w:color="E3E3E3"/>
            </w:tcBorders>
            <w:shd w:val="clear" w:color="auto" w:fill="E3E3E3"/>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89,423</w:t>
            </w:r>
          </w:p>
        </w:tc>
        <w:tc>
          <w:tcPr>
            <w:tcW w:w="10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2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5775960</wp:posOffset>
                </wp:positionH>
                <wp:positionV relativeFrom="paragraph">
                  <wp:posOffset>-655320</wp:posOffset>
                </wp:positionV>
                <wp:extent cx="109855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51.5999pt" to="541.3pt,-51.5999pt" o:allowincell="f" strokecolor="#FFFFFF" strokeweight="0.2399pt"/>
            </w:pict>
          </mc:Fallback>
        </mc:AlternateContent>
      </w:r>
    </w:p>
    <w:p>
      <w:pPr>
        <w:spacing w:after="0" w:line="200" w:lineRule="exact"/>
        <w:rPr>
          <w:sz w:val="20"/>
          <w:szCs w:val="20"/>
          <w:color w:val="auto"/>
        </w:rPr>
      </w:pPr>
    </w:p>
    <w:p>
      <w:pPr>
        <w:spacing w:after="0" w:line="22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Clinical trial costs include the costs of our CRO. CMC costs include costs related to our contract development and manufacturing organizations. Research and development expenses include compensation, contractor fees and supplies as well as allocated common costs such as facilities.</w:t>
      </w:r>
    </w:p>
    <w:p>
      <w:pPr>
        <w:spacing w:after="0" w:line="180" w:lineRule="exact"/>
        <w:rPr>
          <w:sz w:val="20"/>
          <w:szCs w:val="20"/>
          <w:color w:val="auto"/>
        </w:rPr>
      </w:pPr>
    </w:p>
    <w:p>
      <w:pPr>
        <w:jc w:val="both"/>
        <w:ind w:left="20" w:firstLine="360"/>
        <w:spacing w:after="0" w:line="269" w:lineRule="auto"/>
        <w:rPr>
          <w:sz w:val="20"/>
          <w:szCs w:val="20"/>
          <w:color w:val="auto"/>
        </w:rPr>
      </w:pPr>
      <w:r>
        <w:rPr>
          <w:rFonts w:ascii="Times New Roman" w:cs="Times New Roman" w:eastAsia="Times New Roman" w:hAnsi="Times New Roman"/>
          <w:sz w:val="19"/>
          <w:szCs w:val="19"/>
          <w:color w:val="auto"/>
        </w:rPr>
        <w:t>Our technology has been applied across certain of our portfolio of product candidates. Data, know-how, personnel, clinical results, research results and other matters related to the research and development of any one of our product candidates also relate to, and further the development of, our other product candidates. As a result, costs allocated to a specific product candidate may not necessarily reflect the actual costs surrounding research and development of such product candidate due to cross application of the foregoing.</w:t>
      </w:r>
    </w:p>
    <w:p>
      <w:pPr>
        <w:spacing w:after="0" w:line="170"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Estimating the dates of completion of clinical development, and the costs to complete development, of our product candidates would be highly speculative and subjective. Pharmaceutical products take a significant amount of time to research, develop and commercialize. The clinical study portion of the development of a new drug alone usually spans several years. We expect research and development expense to decrease in future periods as the phase out of the Alzheimer's disease development program was completed in Q2 2025, and expenses for the TSC- related epilepsy program are expected to be significantly lower compared to those for the Alzheimer's disease program. The cost and pace of our future research and development activities are linked and subject to change.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77 / 117</w:t>
      </w:r>
    </w:p>
    <w:p>
      <w:pPr>
        <w:sectPr>
          <w:pgSz w:w="12240" w:h="15840" w:orient="portrait"/>
          <w:cols w:equalWidth="0" w:num="1">
            <w:col w:w="10820"/>
          </w:cols>
          <w:pgMar w:left="700" w:top="784" w:right="720"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2"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preparation of our consolidated financial statements in accordance with U.S. generally accepted accounting principles requires us to make estimates and assumptions that affect the reported amounts of assets, liabilities, revenues, expenses and interest income in our consolidated financial statements and accompanying notes. We evaluate our estimates on an ongoing basis, including those estimates related to agreements and research collaborations.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Our significant accounting policies are described in Note 2 to our consolidated financial statements appearing elsewhere in this Annual Report on Form 10-K, and we believe that the accounting policies discussed below involve the greatest degree of complexity and exercise of significant judgments and estimates by our management. The methods, estimates and judgments that we use in applying our accounting policies have a significant impact on our results of operations and, accordingly, we believe the policies described below are the most critical for understanding and evaluating our financial condition and results of operations.</w:t>
      </w:r>
    </w:p>
    <w:p>
      <w:pPr>
        <w:spacing w:after="0" w:line="192" w:lineRule="exact"/>
        <w:rPr>
          <w:sz w:val="20"/>
          <w:szCs w:val="20"/>
          <w:color w:val="auto"/>
        </w:rPr>
      </w:pPr>
    </w:p>
    <w:p>
      <w:pPr>
        <w:jc w:val="both"/>
        <w:ind w:left="740" w:hanging="370"/>
        <w:spacing w:after="0" w:line="258" w:lineRule="auto"/>
        <w:tabs>
          <w:tab w:leader="none" w:pos="7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Legal and other contingencies. The Company is currently involved in various claims and legal proceedings. The Company regularly reviews the status of each significant matter and assesses its potential financial exposure. If the potential loss from any claim or legal proceeding is considered probable and the amount can be reasonably estimated, the Company accrues a liability for the estimated loss. Significant judgment is required in both the determination of probability and whether an exposure is reasonably estimable. Our judgments are subjective based on the status of the legal or regulatory proceedings, the merits of our defenses and consultation with in-house and outside legal counsel. Because of uncertainties related to these matters, accruals are based only on the best information available at the time. As additional information becomes available, the Company reassesses the potential liability related to its pending claims and legal and regulatory proceedings and may revise its estimates. Due to the inherent uncertainties of the legal and regulatory process, our judgments may be materially different than the actual outcomes. Refer to Note 12 to the Consolidated Financial Statements for further information on contingencies.</w:t>
      </w:r>
    </w:p>
    <w:p>
      <w:pPr>
        <w:spacing w:after="0" w:line="191" w:lineRule="exact"/>
        <w:rPr>
          <w:rFonts w:ascii="Times New Roman" w:cs="Times New Roman" w:eastAsia="Times New Roman" w:hAnsi="Times New Roman"/>
          <w:sz w:val="19"/>
          <w:szCs w:val="19"/>
          <w:color w:val="auto"/>
        </w:rPr>
      </w:pPr>
    </w:p>
    <w:p>
      <w:pPr>
        <w:jc w:val="both"/>
        <w:ind w:left="740" w:hanging="370"/>
        <w:spacing w:after="0" w:line="247" w:lineRule="auto"/>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Research Contracts, Prepaids and Accruals. We have entered into various research and development contracts with research institutions and other third-party vendors. These agreements are generally cancelable. Related payments are recorded as research and development expenses as incurred. We record prepaids and accruals for estimated ongoing research costs. When evaluating the adequacy of prepaid expenses and accrued liabilities, we analyze progress of the studies including the phase or completion of events, invoices received and contracted costs. Significant judgments and estimates are made in determining the prepaid and accrued balances at the end of any reporting period. Actual results could differ from our estimates.</w:t>
      </w:r>
    </w:p>
    <w:p>
      <w:pPr>
        <w:spacing w:after="0" w:line="200" w:lineRule="exact"/>
        <w:rPr>
          <w:rFonts w:ascii="Times New Roman" w:cs="Times New Roman" w:eastAsia="Times New Roman" w:hAnsi="Times New Roman"/>
          <w:sz w:val="20"/>
          <w:szCs w:val="20"/>
          <w:color w:val="auto"/>
        </w:rPr>
      </w:pPr>
    </w:p>
    <w:p>
      <w:pPr>
        <w:jc w:val="both"/>
        <w:ind w:left="740" w:hanging="370"/>
        <w:spacing w:after="0" w:line="243" w:lineRule="auto"/>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Valuation of Common Stock Warrant Labilities. The fair value of common stock warrant liabilities was determined on the January 3, 2024 warrant distribution date using a Monte Carlo valuation model. Determining the appropriate fair value model and calculating the fair value of common stock warrants requires considerable judgment. Any change in the estimates used may cause the value to be higher or lower than that reported. Subsequent to their distribution, the common stock warrants were traded on the Nasdaq Capital Market under the trading symbol "SAVAW". The fair value of common stock warrant liabilities at March 31, 2024 was determined using the closing price for the common stock warrants on that date. May 2, 2024 was the final day of trading for the common stock warrants on the Nasdaq Capital Market. Subsequent to that date and through the Warrant Redemption beginning May 7, 2024, the warrants were considered to have no value since there was no active market for trading. All changes in the fair value are recorded in the statements of operations each reporting period. Fair value changes may be significantly different from those recorded in the financial statements due to of the use of judgment and the inherent uncertainty in estimating the fair value of these instruments in the initial valuation as of January 3, 2024, the warrant distribution date.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5" w:lineRule="exact"/>
        <w:rPr>
          <w:sz w:val="20"/>
          <w:szCs w:val="20"/>
          <w:color w:val="auto"/>
        </w:rPr>
      </w:pPr>
    </w:p>
    <w:p>
      <w:pPr>
        <w:ind w:firstLine="360"/>
        <w:spacing w:after="0" w:line="274" w:lineRule="auto"/>
        <w:rPr>
          <w:sz w:val="20"/>
          <w:szCs w:val="20"/>
          <w:color w:val="auto"/>
        </w:rPr>
      </w:pPr>
      <w:r>
        <w:rPr>
          <w:rFonts w:ascii="Times New Roman" w:cs="Times New Roman" w:eastAsia="Times New Roman" w:hAnsi="Times New Roman"/>
          <w:sz w:val="20"/>
          <w:szCs w:val="20"/>
          <w:color w:val="auto"/>
        </w:rPr>
        <w:t>See Note 2. Summary of Significant Accounting Policies, in Notes to the Consolidated Financial Statements in Item 8 of Part II of this Annual Report on Form 10-K.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78 / 117</w:t>
      </w:r>
    </w:p>
    <w:p>
      <w:pPr>
        <w:sectPr>
          <w:pgSz w:w="12240" w:h="15840" w:orient="portrait"/>
          <w:cols w:equalWidth="0" w:num="1">
            <w:col w:w="10800"/>
          </w:cols>
          <w:pgMar w:left="720" w:top="784" w:right="720"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 xml:space="preserve">Results of Operations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Comparison of years ended December 31, 2025 and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229"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of drug development work associated with our product candidates, including:</w:t>
      </w:r>
    </w:p>
    <w:p>
      <w:pPr>
        <w:spacing w:after="0" w:line="165" w:lineRule="exact"/>
        <w:rPr>
          <w:sz w:val="20"/>
          <w:szCs w:val="20"/>
          <w:color w:val="auto"/>
        </w:rPr>
      </w:pPr>
    </w:p>
    <w:p>
      <w:pPr>
        <w:ind w:left="740" w:hanging="370"/>
        <w:spacing w:after="0"/>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studies,</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preclinical testing,</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supplies and related formulation and design costs, and</w:t>
      </w:r>
    </w:p>
    <w:p>
      <w:pPr>
        <w:spacing w:after="0" w:line="55"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other personnel-related expenses.</w:t>
      </w:r>
    </w:p>
    <w:p>
      <w:pPr>
        <w:spacing w:after="0" w:line="2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expenses decreased to $26.6 million in 2025 from $69.6 million in 2024, representing a 62% decrease. This decrease was due primarily to the phase out of the Alzheimer's disease development program beginning the fourth quarter of 2024 and completed in the second quarter of 2025.</w:t>
      </w:r>
    </w:p>
    <w:p>
      <w:pPr>
        <w:spacing w:after="0" w:line="17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We expect research and development expense to decrease in future periods as the phase out of the Alzheimer's disease development program was completed in Q2 2025, and expenses for the TSC-related epilepsy program are expected to be significantly lower compared to those for the Alzheimer's disease program.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w:t>
      </w:r>
    </w:p>
    <w:p>
      <w:pPr>
        <w:spacing w:after="0" w:line="229"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General and administrative expenses consist of personnel costs, allocated expenses and other expenses for outside professional services, including legal, human resources, audit and accounting services. Personnel costs consist of salaries, bonus, benefits and stock-based compensation. Allocated expenses consist primarily of existing facility costs. We incur insurance, audit, investor relations and other administrative and professional services expenses associated with operating as a public company, including expenses related to compliance with the rules and regulations of the SEC and Nasdaq. General and administrative expense decreased to $68.8 million in 2025 from $71.8 million in 2024. The 4% decrease was due primarily to a $40.0 million SEC-related loss contingency recorded in 2024 being partially offset by $9.9 million in insurance recoveries. This compared to a $31.3 million securities litigation loss contingency and $4 million of other litigation contingencies recorded in 2025, for which there were no insurance recoveries. The change also included a $2.6 million increase in stock-based compensation expense due to new awards granted in late 2024. These increases were partially offset by a decrease in severance costs recorded in the prior year period which were not repeated in 2025.</w:t>
      </w:r>
    </w:p>
    <w:p>
      <w:pPr>
        <w:spacing w:after="0" w:line="19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expect general and administrative expense will decrease significantly in future periods as we entered into a binding term sheet to resolve our most significant, legacy litigation in 2025. However, we expect general and administrative expense to remain high compared to historic levels due to ongoing professional fees and legal expense related to other ongoing litigation. In addition, stock-based compensation expense is expected to be higher than historic levels due to new awards granted in 2024 and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229"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Interest income was $ 4.6 million in 2025 compared to $8.5 million in 2024. The 46% decrease was due primarily to lower interest rates and cash balances in 2025 compared to 2024.</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expect interest income to decrease significantly in 2026 compared to 2025 due to lower cash balances and interest rates.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(loss), net</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We record the activities related to leasing office space to third parties in buildings we own as other income (loss), net, as leasing is not core to the Company’s operations. Other income (loss), net, was $(0.2) million during 2025 compared to $0.4 million during 2024. We expect to continue to record a modest net loss on leasing activities in 2026 due to higher vacancy rates compared to historic occupancy.</w:t>
      </w:r>
    </w:p>
    <w:p>
      <w:pPr>
        <w:spacing w:after="0" w:line="184"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Depreciation and amortization for the office complex is included in general and administrative and research and development expense, and thus not reflected in other income, net.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79 / 117</w:t>
      </w:r>
    </w:p>
    <w:p>
      <w:pPr>
        <w:sectPr>
          <w:pgSz w:w="12240" w:h="15840" w:orient="portrait"/>
          <w:cols w:equalWidth="0" w:num="1">
            <w:col w:w="10800"/>
          </w:cols>
          <w:pgMar w:left="720" w:top="784" w:right="720" w:bottom="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20"/>
          <w:szCs w:val="20"/>
          <w:i w:val="1"/>
          <w:iCs w:val="1"/>
          <w:color w:val="auto"/>
        </w:rPr>
        <w:t>Change in fair value of warrants</w:t>
      </w:r>
    </w:p>
    <w:p>
      <w:pPr>
        <w:spacing w:after="0" w:line="226" w:lineRule="exact"/>
        <w:rPr>
          <w:sz w:val="20"/>
          <w:szCs w:val="20"/>
          <w:color w:val="auto"/>
        </w:rPr>
      </w:pPr>
    </w:p>
    <w:p>
      <w:pPr>
        <w:ind w:left="60" w:right="20" w:firstLine="360"/>
        <w:spacing w:after="0" w:line="277" w:lineRule="auto"/>
        <w:rPr>
          <w:sz w:val="20"/>
          <w:szCs w:val="20"/>
          <w:color w:val="auto"/>
        </w:rPr>
      </w:pPr>
      <w:r>
        <w:rPr>
          <w:rFonts w:ascii="Times New Roman" w:cs="Times New Roman" w:eastAsia="Times New Roman" w:hAnsi="Times New Roman"/>
          <w:sz w:val="20"/>
          <w:szCs w:val="20"/>
          <w:color w:val="auto"/>
        </w:rPr>
        <w:t>There were no common stock warrants outstanding or change in fair value of warrants for the year ended December 31, 2025. The change in fair value of warrants was $108.2 million for the year ended December 31, 2024.</w:t>
      </w:r>
    </w:p>
    <w:p>
      <w:pPr>
        <w:spacing w:after="0" w:line="161" w:lineRule="exact"/>
        <w:rPr>
          <w:sz w:val="20"/>
          <w:szCs w:val="20"/>
          <w:color w:val="auto"/>
        </w:rPr>
      </w:pPr>
    </w:p>
    <w:p>
      <w:pPr>
        <w:ind w:left="60" w:right="420" w:firstLine="360"/>
        <w:spacing w:after="0" w:line="251" w:lineRule="auto"/>
        <w:rPr>
          <w:sz w:val="20"/>
          <w:szCs w:val="20"/>
          <w:color w:val="auto"/>
        </w:rPr>
      </w:pPr>
      <w:r>
        <w:rPr>
          <w:rFonts w:ascii="Times New Roman" w:cs="Times New Roman" w:eastAsia="Times New Roman" w:hAnsi="Times New Roman"/>
          <w:sz w:val="20"/>
          <w:szCs w:val="20"/>
          <w:color w:val="auto"/>
        </w:rPr>
        <w:t>The 2024 change was attributable to a gain on the change in fair value of our liability-classified warrants from distribution on January 3, 2024 to their redemption in May 2024. The change in fair value was primarily driven by a decrease in fair value at redemption as there was little or no market trading activity and the warrants were redeemed for a nominal payment of $0.001 per warrant.</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2024 and 2023</w:t>
      </w:r>
    </w:p>
    <w:p>
      <w:pPr>
        <w:spacing w:after="0" w:line="231" w:lineRule="exact"/>
        <w:rPr>
          <w:sz w:val="20"/>
          <w:szCs w:val="20"/>
          <w:color w:val="auto"/>
        </w:rPr>
      </w:pPr>
    </w:p>
    <w:p>
      <w:pPr>
        <w:jc w:val="both"/>
        <w:ind w:left="80" w:firstLine="360"/>
        <w:spacing w:after="0" w:line="257" w:lineRule="auto"/>
        <w:rPr>
          <w:sz w:val="20"/>
          <w:szCs w:val="20"/>
          <w:color w:val="auto"/>
        </w:rPr>
      </w:pPr>
      <w:r>
        <w:rPr>
          <w:rFonts w:ascii="Times New Roman" w:cs="Times New Roman" w:eastAsia="Times New Roman" w:hAnsi="Times New Roman"/>
          <w:sz w:val="20"/>
          <w:szCs w:val="20"/>
          <w:color w:val="auto"/>
        </w:rPr>
        <w:t>Refer to “Item 7. Management’s Discussion and Analysis of Financial Condition and Results of Operations—Results of Operations” in our 2024 Annual Report on Form 10-K for a discussion of the results of operations for the year ended December 31, 2024 compared to the year ended December 31, 2023.</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jc w:val="both"/>
        <w:ind w:left="80" w:firstLine="360"/>
        <w:spacing w:after="0" w:line="252" w:lineRule="auto"/>
        <w:rPr>
          <w:sz w:val="20"/>
          <w:szCs w:val="20"/>
          <w:color w:val="auto"/>
        </w:rPr>
      </w:pPr>
      <w:r>
        <w:rPr>
          <w:rFonts w:ascii="Times New Roman" w:cs="Times New Roman" w:eastAsia="Times New Roman" w:hAnsi="Times New Roman"/>
          <w:sz w:val="20"/>
          <w:szCs w:val="20"/>
          <w:color w:val="auto"/>
        </w:rPr>
        <w:t>Since inception, we have financed our operations primarily through public and private stock offerings, payments received under collaborative agreements and interest earned on our cash and cash equivalents balances. We intend to continue to use our capital resources to fund research and development activities, capital expenditures, working capital requirements and other general corporate purposes. As of December 31, 2025, cash and cash equivalents totaled $95.5 million.</w:t>
      </w:r>
    </w:p>
    <w:p>
      <w:pPr>
        <w:spacing w:after="0" w:line="1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2024 Common Stock Warrant Distribution</w:t>
      </w:r>
    </w:p>
    <w:p>
      <w:pPr>
        <w:spacing w:after="0" w:line="228" w:lineRule="exact"/>
        <w:rPr>
          <w:sz w:val="20"/>
          <w:szCs w:val="20"/>
          <w:color w:val="auto"/>
        </w:rPr>
      </w:pPr>
    </w:p>
    <w:p>
      <w:pPr>
        <w:jc w:val="both"/>
        <w:ind w:left="40" w:firstLine="360"/>
        <w:spacing w:after="0" w:line="277" w:lineRule="auto"/>
        <w:rPr>
          <w:sz w:val="20"/>
          <w:szCs w:val="20"/>
          <w:color w:val="auto"/>
        </w:rPr>
      </w:pPr>
      <w:r>
        <w:rPr>
          <w:rFonts w:ascii="Times New Roman" w:cs="Times New Roman" w:eastAsia="Times New Roman" w:hAnsi="Times New Roman"/>
          <w:sz w:val="20"/>
          <w:szCs w:val="20"/>
          <w:color w:val="auto"/>
        </w:rPr>
        <w:t>On January 3, 2024, we made a distribution of approximately 16.9 million warrants to purchase shares of our common stock to holders of record of our common stock as of the close of business on December 22, 2023.</w:t>
      </w:r>
    </w:p>
    <w:p>
      <w:pPr>
        <w:spacing w:after="0" w:line="160" w:lineRule="exact"/>
        <w:rPr>
          <w:sz w:val="20"/>
          <w:szCs w:val="20"/>
          <w:color w:val="auto"/>
        </w:rPr>
      </w:pPr>
    </w:p>
    <w:p>
      <w:pPr>
        <w:jc w:val="both"/>
        <w:ind w:left="40" w:right="20" w:firstLine="360"/>
        <w:spacing w:after="0" w:line="277" w:lineRule="auto"/>
        <w:rPr>
          <w:sz w:val="20"/>
          <w:szCs w:val="20"/>
          <w:color w:val="auto"/>
        </w:rPr>
      </w:pPr>
      <w:r>
        <w:rPr>
          <w:rFonts w:ascii="Times New Roman" w:cs="Times New Roman" w:eastAsia="Times New Roman" w:hAnsi="Times New Roman"/>
          <w:sz w:val="20"/>
          <w:szCs w:val="20"/>
          <w:color w:val="auto"/>
        </w:rPr>
        <w:t>Each warrant entitled the holder to purchase, at the holder’s sole expense and exclusive election, at an exercise price of $33.00 per warrant, one and one-half shares of common stock (rounded down for any fractional shares).</w:t>
      </w:r>
    </w:p>
    <w:p>
      <w:pPr>
        <w:spacing w:after="0" w:line="158" w:lineRule="exact"/>
        <w:rPr>
          <w:sz w:val="20"/>
          <w:szCs w:val="20"/>
          <w:color w:val="auto"/>
        </w:rPr>
      </w:pPr>
    </w:p>
    <w:p>
      <w:pPr>
        <w:jc w:val="both"/>
        <w:ind w:left="40" w:firstLine="360"/>
        <w:spacing w:after="0" w:line="258" w:lineRule="auto"/>
        <w:rPr>
          <w:sz w:val="20"/>
          <w:szCs w:val="20"/>
          <w:color w:val="auto"/>
        </w:rPr>
      </w:pPr>
      <w:r>
        <w:rPr>
          <w:rFonts w:ascii="Times New Roman" w:cs="Times New Roman" w:eastAsia="Times New Roman" w:hAnsi="Times New Roman"/>
          <w:sz w:val="20"/>
          <w:szCs w:val="20"/>
          <w:color w:val="auto"/>
        </w:rPr>
        <w:t>On April 15, 2024, the Company announced that all outstanding warrants were to be redeemed on May 7, 2024 (the “Redemption Date”). The redemption price was equal to 1/10 of $0.01 per warrant. The warrants were exercisable at any time starting on January 3, 2024 until the business day prior to the Redemption Date.</w:t>
      </w:r>
    </w:p>
    <w:p>
      <w:pPr>
        <w:spacing w:after="0" w:line="180"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From January 3, 2024 through the Redemption Date, a total of approximately 3.8 million warrants were exercised. Gross proceeds for 2024 from the warrant distribution totaled approximately $126.3 million from the issuance of approximately 5.7 million common shares at $22.00 per share. Total net proceeds of the warrant distribution were approximately $123.6 million after deducting exercise expenses and commissions.</w:t>
      </w:r>
    </w:p>
    <w:p>
      <w:pPr>
        <w:spacing w:after="0" w:line="188"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After the first $ 20 million of gross proceeds, the Company was obligated to pay a commission of 2.5% of the gross proceeds from the sale of shares of common stock from warrant exercises to the Company's financial advisor for the warrant distribution. Total cost of warrant exercises through the Redemption Date were approximately $2.7 million.</w:t>
      </w:r>
    </w:p>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At the Market (ATM) Common Stock Issuance</w:t>
      </w:r>
    </w:p>
    <w:p>
      <w:pPr>
        <w:spacing w:after="0" w:line="231" w:lineRule="exact"/>
        <w:rPr>
          <w:sz w:val="20"/>
          <w:szCs w:val="20"/>
          <w:color w:val="auto"/>
        </w:rPr>
      </w:pPr>
    </w:p>
    <w:p>
      <w:pPr>
        <w:jc w:val="both"/>
        <w:ind w:left="60" w:firstLine="360"/>
        <w:spacing w:after="0" w:line="249" w:lineRule="auto"/>
        <w:rPr>
          <w:sz w:val="20"/>
          <w:szCs w:val="20"/>
          <w:color w:val="auto"/>
        </w:rPr>
      </w:pPr>
      <w:r>
        <w:rPr>
          <w:rFonts w:ascii="Times New Roman" w:cs="Times New Roman" w:eastAsia="Times New Roman" w:hAnsi="Times New Roman"/>
          <w:sz w:val="20"/>
          <w:szCs w:val="20"/>
          <w:color w:val="auto"/>
        </w:rPr>
        <w:t>On November 12, 2025, we entered into an at-the -market offering program (ATM) to sell, from time to time, shares of our common stock having an aggregate offering price of up to $50 million in common stock in transactions pursuant to a shelf registration statement that was declared effective by the U.S. Securities and Exchange Commission (SEC) on December 5, 2025. We are obligated to pay a commission of up to 3.0% of the gross proceeds from the sale of shares of common stock in the offering. We are not obligated to sell any shares in the offering.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There were no common stock sales under the ATM during the year ended December 31, 2025.</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4"/>
          <w:szCs w:val="24"/>
          <w:color w:val="auto"/>
        </w:rPr>
        <w:t>80 / 117</w:t>
      </w:r>
    </w:p>
    <w:p>
      <w:pPr>
        <w:sectPr>
          <w:pgSz w:w="12240" w:h="15840" w:orient="portrait"/>
          <w:cols w:equalWidth="0" w:num="1">
            <w:col w:w="10880"/>
          </w:cols>
          <w:pgMar w:left="640" w:top="790" w:right="720" w:bottom="0" w:gutter="0" w:footer="0" w:header="0"/>
        </w:sectPr>
      </w:pPr>
    </w:p>
    <w:bookmarkStart w:id="80" w:name="page81"/>
    <w:bookmarkEnd w:id="80"/>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Use of Cash</w:t>
      </w:r>
    </w:p>
    <w:p>
      <w:pPr>
        <w:spacing w:after="0" w:line="228" w:lineRule="exact"/>
        <w:rPr>
          <w:sz w:val="20"/>
          <w:szCs w:val="20"/>
          <w:color w:val="auto"/>
        </w:rPr>
      </w:pPr>
    </w:p>
    <w:p>
      <w:pPr>
        <w:jc w:val="both"/>
        <w:ind w:left="40" w:right="20"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sets forth a summary of the primary sources and uses of cash for each of the periods presented below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11"/>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595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0"/>
                <w:szCs w:val="20"/>
                <w:color w:val="auto"/>
              </w:rPr>
            </w:pPr>
          </w:p>
        </w:tc>
      </w:tr>
      <w:tr>
        <w:trPr>
          <w:trHeight w:val="230"/>
        </w:trPr>
        <w:tc>
          <w:tcPr>
            <w:tcW w:w="595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9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(32,252)</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(116,929)</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360" w:type="dxa"/>
            <w:vAlign w:val="bottom"/>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(82,025)</w:t>
            </w:r>
          </w:p>
        </w:tc>
        <w:tc>
          <w:tcPr>
            <w:tcW w:w="100" w:type="dxa"/>
            <w:vAlign w:val="bottom"/>
            <w:shd w:val="clear" w:color="auto" w:fill="E3E3E3"/>
          </w:tcPr>
          <w:p>
            <w:pPr>
              <w:spacing w:after="0"/>
              <w:rPr>
                <w:sz w:val="20"/>
                <w:szCs w:val="20"/>
                <w:color w:val="auto"/>
              </w:rPr>
            </w:pPr>
          </w:p>
        </w:tc>
      </w:tr>
      <w:tr>
        <w:trPr>
          <w:trHeight w:val="238"/>
        </w:trPr>
        <w:tc>
          <w:tcPr>
            <w:tcW w:w="595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9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60" w:type="dxa"/>
            <w:vAlign w:val="bottom"/>
            <w:tcBorders>
              <w:bottom w:val="single" w:sz="8" w:color="E3E3E3"/>
            </w:tcBorders>
          </w:tcPr>
          <w:p>
            <w:pPr>
              <w:spacing w:after="0"/>
              <w:rPr>
                <w:sz w:val="20"/>
                <w:szCs w:val="20"/>
                <w:color w:val="auto"/>
              </w:rPr>
            </w:pPr>
          </w:p>
        </w:tc>
        <w:tc>
          <w:tcPr>
            <w:tcW w:w="1140" w:type="dxa"/>
            <w:vAlign w:val="bottom"/>
            <w:tcBorders>
              <w:bottom w:val="single" w:sz="8" w:color="E3E3E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(414)</w:t>
            </w:r>
          </w:p>
        </w:tc>
      </w:tr>
      <w:tr>
        <w:trPr>
          <w:trHeight w:val="235"/>
        </w:trPr>
        <w:tc>
          <w:tcPr>
            <w:tcW w:w="595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(239)</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124,470</w:t>
            </w:r>
          </w:p>
        </w:tc>
        <w:tc>
          <w:tcPr>
            <w:tcW w:w="20" w:type="dxa"/>
            <w:vAlign w:val="bottom"/>
            <w:tcBorders>
              <w:bottom w:val="single" w:sz="8" w:color="auto"/>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360" w:type="dxa"/>
            <w:vAlign w:val="bottom"/>
            <w:tcBorders>
              <w:bottom w:val="single" w:sz="8" w:color="auto"/>
            </w:tcBorders>
            <w:shd w:val="clear" w:color="auto" w:fill="E3E3E3"/>
          </w:tcPr>
          <w:p>
            <w:pPr>
              <w:spacing w:after="0"/>
              <w:rPr>
                <w:sz w:val="20"/>
                <w:szCs w:val="20"/>
                <w:color w:val="auto"/>
              </w:rPr>
            </w:pPr>
          </w:p>
        </w:tc>
        <w:tc>
          <w:tcPr>
            <w:tcW w:w="104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2,560</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9"/>
        </w:trPr>
        <w:tc>
          <w:tcPr>
            <w:tcW w:w="595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(33,072)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7,438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(79,879)</w:t>
            </w:r>
          </w:p>
        </w:tc>
        <w:tc>
          <w:tcPr>
            <w:tcW w:w="100" w:type="dxa"/>
            <w:vAlign w:val="bottom"/>
          </w:tcPr>
          <w:p>
            <w:pPr>
              <w:spacing w:after="0"/>
              <w:rPr>
                <w:sz w:val="19"/>
                <w:szCs w:val="19"/>
                <w:color w:val="auto"/>
              </w:rPr>
            </w:pPr>
          </w:p>
        </w:tc>
      </w:tr>
      <w:tr>
        <w:trPr>
          <w:trHeight w:val="20"/>
        </w:trPr>
        <w:tc>
          <w:tcPr>
            <w:tcW w:w="59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9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5788660</wp:posOffset>
                </wp:positionH>
                <wp:positionV relativeFrom="paragraph">
                  <wp:posOffset>-502285</wp:posOffset>
                </wp:positionV>
                <wp:extent cx="109855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8pt,-39.5499pt" to="542.3pt,-39.5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4761230</wp:posOffset>
                </wp:positionH>
                <wp:positionV relativeFrom="paragraph">
                  <wp:posOffset>-193040</wp:posOffset>
                </wp:positionV>
                <wp:extent cx="13525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9pt,-15.1999pt" to="385.5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5788660</wp:posOffset>
                </wp:positionH>
                <wp:positionV relativeFrom="paragraph">
                  <wp:posOffset>-193040</wp:posOffset>
                </wp:positionV>
                <wp:extent cx="13716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8pt,-15.1999pt" to="466.6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-26035</wp:posOffset>
                </wp:positionV>
                <wp:extent cx="685927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2.0499pt" to="542.3pt,-2.0499pt" o:allowincell="f" strokecolor="#FFFFFF" strokeweight="2.52pt"/>
            </w:pict>
          </mc:Fallback>
        </mc:AlternateContent>
      </w:r>
    </w:p>
    <w:p>
      <w:pPr>
        <w:spacing w:after="0" w:line="192" w:lineRule="exact"/>
        <w:rPr>
          <w:sz w:val="20"/>
          <w:szCs w:val="20"/>
          <w:color w:val="auto"/>
        </w:rPr>
      </w:pPr>
    </w:p>
    <w:p>
      <w:pPr>
        <w:jc w:val="both"/>
        <w:ind w:left="40" w:firstLine="360"/>
        <w:spacing w:after="0" w:line="249" w:lineRule="auto"/>
        <w:rPr>
          <w:sz w:val="20"/>
          <w:szCs w:val="20"/>
          <w:color w:val="auto"/>
        </w:rPr>
      </w:pPr>
      <w:r>
        <w:rPr>
          <w:rFonts w:ascii="Times New Roman" w:cs="Times New Roman" w:eastAsia="Times New Roman" w:hAnsi="Times New Roman"/>
          <w:sz w:val="20"/>
          <w:szCs w:val="20"/>
          <w:color w:val="auto"/>
        </w:rPr>
        <w:t>Net cash used in operating activities was $ 32.3 million for the year ended December 31, 2025, resulting primarily from the net loss reported of $91.0 million as well as a decrease in accrued development expenses of $2.1 million. This change was partially offset by an increase in accounts payable and other accrued expenses of $34.0 million and a decrease in prepaid and other assets of $6.1 million. There was also a non-cash adjustment for stock compensation expense of $19.6 million and depreciation and amortization of $0.9 million.</w:t>
      </w:r>
    </w:p>
    <w:p>
      <w:pPr>
        <w:spacing w:after="0" w:line="188" w:lineRule="exact"/>
        <w:rPr>
          <w:sz w:val="20"/>
          <w:szCs w:val="20"/>
          <w:color w:val="auto"/>
        </w:rPr>
      </w:pPr>
    </w:p>
    <w:p>
      <w:pPr>
        <w:jc w:val="both"/>
        <w:ind w:left="40" w:firstLine="360"/>
        <w:spacing w:after="0" w:line="251" w:lineRule="auto"/>
        <w:rPr>
          <w:sz w:val="20"/>
          <w:szCs w:val="20"/>
          <w:color w:val="auto"/>
        </w:rPr>
      </w:pPr>
      <w:r>
        <w:rPr>
          <w:rFonts w:ascii="Times New Roman" w:cs="Times New Roman" w:eastAsia="Times New Roman" w:hAnsi="Times New Roman"/>
          <w:sz w:val="20"/>
          <w:szCs w:val="20"/>
          <w:color w:val="auto"/>
        </w:rPr>
        <w:t>Net cash used in operating activities was $116.9 million for the year ended December 31, 2024, resulting primarily from the net loss reported of $24.3 million, change in fair value of warrants of $108.2 million and a decrease in accounts payable and other accrued expenses of $2.9 million. This change was partially offset by stock compensation expense of $16.3 million, depreciation and amortization of $1.1 million and an increase in accrued compensation and benefits of $1.2 million.</w:t>
      </w:r>
    </w:p>
    <w:p>
      <w:pPr>
        <w:spacing w:after="0" w:line="188" w:lineRule="exact"/>
        <w:rPr>
          <w:sz w:val="20"/>
          <w:szCs w:val="20"/>
          <w:color w:val="auto"/>
        </w:rPr>
      </w:pPr>
    </w:p>
    <w:p>
      <w:pPr>
        <w:jc w:val="both"/>
        <w:ind w:left="40" w:firstLine="36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2025 was $0.6 million primarily for tenant improvements for new lessees.</w:t>
      </w:r>
    </w:p>
    <w:p>
      <w:pPr>
        <w:spacing w:after="0" w:line="158" w:lineRule="exact"/>
        <w:rPr>
          <w:sz w:val="20"/>
          <w:szCs w:val="20"/>
          <w:color w:val="auto"/>
        </w:rPr>
      </w:pPr>
    </w:p>
    <w:p>
      <w:pPr>
        <w:jc w:val="both"/>
        <w:ind w:left="40" w:firstLine="360"/>
        <w:spacing w:after="0" w:line="277" w:lineRule="auto"/>
        <w:rPr>
          <w:sz w:val="20"/>
          <w:szCs w:val="20"/>
          <w:color w:val="auto"/>
        </w:rPr>
      </w:pPr>
      <w:r>
        <w:rPr>
          <w:rFonts w:ascii="Times New Roman" w:cs="Times New Roman" w:eastAsia="Times New Roman" w:hAnsi="Times New Roman"/>
          <w:sz w:val="20"/>
          <w:szCs w:val="20"/>
          <w:color w:val="auto"/>
        </w:rPr>
        <w:t>Net cash used in investing activities during the year ended December 31, 2024 was $0.1 million for computers and equipment and other assets.</w:t>
      </w:r>
    </w:p>
    <w:p>
      <w:pPr>
        <w:spacing w:after="0" w:line="160" w:lineRule="exact"/>
        <w:rPr>
          <w:sz w:val="20"/>
          <w:szCs w:val="20"/>
          <w:color w:val="auto"/>
        </w:rPr>
      </w:pPr>
    </w:p>
    <w:p>
      <w:pPr>
        <w:jc w:val="both"/>
        <w:ind w:left="40" w:firstLine="360"/>
        <w:spacing w:after="0" w:line="274" w:lineRule="auto"/>
        <w:rPr>
          <w:sz w:val="20"/>
          <w:szCs w:val="20"/>
          <w:color w:val="auto"/>
        </w:rPr>
      </w:pPr>
      <w:r>
        <w:rPr>
          <w:rFonts w:ascii="Times New Roman" w:cs="Times New Roman" w:eastAsia="Times New Roman" w:hAnsi="Times New Roman"/>
          <w:sz w:val="20"/>
          <w:szCs w:val="20"/>
          <w:color w:val="auto"/>
        </w:rPr>
        <w:t>Net cash used in financing activities during the year ended December 31, 2025 was $0.2 million for costs to establish the 2025 ATM offering program, partially offset from the exercise of stock options.</w:t>
      </w:r>
    </w:p>
    <w:p>
      <w:pPr>
        <w:spacing w:after="0" w:line="164" w:lineRule="exact"/>
        <w:rPr>
          <w:sz w:val="20"/>
          <w:szCs w:val="20"/>
          <w:color w:val="auto"/>
        </w:rPr>
      </w:pPr>
    </w:p>
    <w:p>
      <w:pPr>
        <w:jc w:val="both"/>
        <w:ind w:left="40" w:firstLine="360"/>
        <w:spacing w:after="0" w:line="277" w:lineRule="auto"/>
        <w:rPr>
          <w:sz w:val="20"/>
          <w:szCs w:val="20"/>
          <w:color w:val="auto"/>
        </w:rPr>
      </w:pPr>
      <w:r>
        <w:rPr>
          <w:rFonts w:ascii="Times New Roman" w:cs="Times New Roman" w:eastAsia="Times New Roman" w:hAnsi="Times New Roman"/>
          <w:sz w:val="20"/>
          <w:szCs w:val="20"/>
          <w:color w:val="auto"/>
        </w:rPr>
        <w:t>Net cash provided by financing activities during the year ended December 31, 2024 was $124.5 million including $123.6 million of net proceeds from the exercise of warrants and $0.9 million from the exercise of stock options.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Use of Cash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Comparison of the years ended December 31, 2024 and 2023</w:t>
      </w:r>
    </w:p>
    <w:p>
      <w:pPr>
        <w:spacing w:after="0" w:line="228" w:lineRule="exact"/>
        <w:rPr>
          <w:sz w:val="20"/>
          <w:szCs w:val="20"/>
          <w:color w:val="auto"/>
        </w:rPr>
      </w:pPr>
    </w:p>
    <w:p>
      <w:pPr>
        <w:jc w:val="both"/>
        <w:ind w:left="40" w:firstLine="360"/>
        <w:spacing w:after="0" w:line="258" w:lineRule="auto"/>
        <w:rPr>
          <w:sz w:val="20"/>
          <w:szCs w:val="20"/>
          <w:color w:val="auto"/>
        </w:rPr>
      </w:pPr>
      <w:r>
        <w:rPr>
          <w:rFonts w:ascii="Times New Roman" w:cs="Times New Roman" w:eastAsia="Times New Roman" w:hAnsi="Times New Roman"/>
          <w:sz w:val="20"/>
          <w:szCs w:val="20"/>
          <w:color w:val="auto"/>
        </w:rPr>
        <w:t>Refer to “Item 7. Management’s Discussion and Analysis of Financial Condition and Results of Operations—Results of Operations” in our 2024 Annual Report on Form 10-K for a discussion of use of cash for the year ended December 31, 2024 compared to the year ended December 31, 2023.</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Property and Leases</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We own an office complex in Austin, Texas, a portion of which serves as our corporate headquarters. Maintenance, physical facilities, leasing, property management and other key responsibilities related to property ownership are outsourced to professional real-estate managers. The office complex measures approximately 90,000 rentable square feet. At December 31, 2025, we occupied approximately 25% of the property with the remainder either leased or available for lease to third parties. We expect to record a modest net loss on leasing activities in 2026 due to higher vacancy rates compared to historic occupancy.</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81 / 117</w:t>
      </w:r>
    </w:p>
    <w:p>
      <w:pPr>
        <w:sectPr>
          <w:pgSz w:w="12240" w:h="15840" w:orient="portrait"/>
          <w:cols w:equalWidth="0" w:num="1">
            <w:col w:w="10840"/>
          </w:cols>
          <w:pgMar w:left="680" w:top="788" w:right="720"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22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We have an accumulated deficit of $496.1 million at December 31, 2025. We expect our cash requirements to be significant in the future. The amount and timing of our future cash requirements will depend on regulatory and market acceptance of our product candidates and the resources we devote to researching and developing, formulating, manufacturing, commercializing and supporting our products. We believe that our current resources should be sufficient to fund our operations for at least the next 12 months. We may seek additional future funding through public or private financing in the future, if such funding is available and on terms acceptable to us.</w:t>
      </w:r>
    </w:p>
    <w:p>
      <w:pPr>
        <w:spacing w:after="0" w:line="19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If we raise additional funds by issuing equity or equity-linked securities, our stockholders will experience dilution, which may be substantial. If we raise additional funds through the issuance of preferred equity securities or through debt financing, the terms of such future preferred equity or debt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drug candidates in certain territories or indications that we would prefer to develop and commercialize ourselves.</w:t>
      </w:r>
    </w:p>
    <w:p>
      <w:pPr>
        <w:spacing w:after="0" w:line="23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20"/>
          <w:szCs w:val="20"/>
          <w:b w:val="1"/>
          <w:bCs w:val="1"/>
          <w:i w:val="1"/>
          <w:iCs w:val="1"/>
          <w:color w:val="auto"/>
        </w:rPr>
        <w:t>Quantitative and Qualitative Disclosures about Market Risk</w:t>
      </w:r>
    </w:p>
    <w:p>
      <w:pPr>
        <w:spacing w:after="0" w:line="233"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primarily related to interest rate sensitivities and, to a lesser extent, currency fluctuations related to our clinical operations outside the 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Sensitivity</w:t>
      </w:r>
    </w:p>
    <w:p>
      <w:pPr>
        <w:spacing w:after="0" w:line="23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We are exposed to market risk related to changes in interest rates. We had cash and cash equivalents of $95.5 million as of December 31, 2025, which consisted primarily of U.S. Treasury securities and money market accounts.</w:t>
      </w:r>
    </w:p>
    <w:p>
      <w:pPr>
        <w:spacing w:after="0" w:line="160"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primary objective of our investment activities is to preserve capital to fund our operations. We also seek to maximize income from our investments without assuming significant risk. To achieve our objectives, we maintain investment vehicles with high credit quality and short -term duration, in accordance with our board-approved investment policy. Such interest-earning instruments carry a degree of interest rate risk. However, due to the generally short-term maturities and low risk profile of our cash equivalents, an immediate 100 basis point increase or decrease in interest rates during any of the periods presented would increase or decrease our annual net loss by less than $1.3 million in our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1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i w:val="1"/>
                <w:iCs w:val="1"/>
                <w:color w:val="auto"/>
              </w:rPr>
              <w:t>Consolidated Financial Statements and Supplementary Data</w:t>
            </w: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1"/>
        </w:trPr>
        <w:tc>
          <w:tcPr>
            <w:tcW w:w="818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180" w:type="dxa"/>
            <w:vAlign w:val="bottom"/>
            <w:gridSpan w:val="7"/>
            <w:vMerge w:val="restart"/>
          </w:tcPr>
          <w:p>
            <w:pPr>
              <w:spacing w:after="0"/>
              <w:rPr>
                <w:sz w:val="20"/>
                <w:szCs w:val="20"/>
                <w:color w:val="auto"/>
              </w:rPr>
            </w:pPr>
            <w:r>
              <w:rPr>
                <w:rFonts w:ascii="Times New Roman" w:cs="Times New Roman" w:eastAsia="Times New Roman" w:hAnsi="Times New Roman"/>
                <w:sz w:val="20"/>
                <w:szCs w:val="20"/>
                <w:color w:val="313131"/>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2460" w:type="dxa"/>
            <w:vAlign w:val="bottom"/>
            <w:gridSpan w:val="4"/>
          </w:tcPr>
          <w:p>
            <w:pPr>
              <w:jc w:val="center"/>
              <w:ind w:left="1960"/>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220"/>
        </w:trPr>
        <w:tc>
          <w:tcPr>
            <w:tcW w:w="8180" w:type="dxa"/>
            <w:vAlign w:val="bottom"/>
            <w:gridSpan w:val="7"/>
            <w:vMerge w:val="continue"/>
          </w:tcPr>
          <w:p>
            <w:pPr>
              <w:spacing w:after="0"/>
              <w:rPr>
                <w:sz w:val="19"/>
                <w:szCs w:val="19"/>
                <w:color w:val="auto"/>
              </w:rPr>
            </w:pPr>
          </w:p>
        </w:tc>
        <w:tc>
          <w:tcPr>
            <w:tcW w:w="2060" w:type="dxa"/>
            <w:vAlign w:val="bottom"/>
          </w:tcPr>
          <w:p>
            <w:pPr>
              <w:spacing w:after="0"/>
              <w:rPr>
                <w:sz w:val="19"/>
                <w:szCs w:val="19"/>
                <w:color w:val="auto"/>
              </w:rPr>
            </w:pPr>
          </w:p>
        </w:tc>
        <w:tc>
          <w:tcPr>
            <w:tcW w:w="400" w:type="dxa"/>
            <w:vAlign w:val="bottom"/>
            <w:tcBorders>
              <w:top w:val="single" w:sz="8" w:color="auto"/>
            </w:tcBorders>
            <w:gridSpan w:val="3"/>
          </w:tcPr>
          <w:p>
            <w:pPr>
              <w:jc w:val="center"/>
              <w:spacing w:after="0" w:line="220" w:lineRule="exact"/>
              <w:rPr>
                <w:sz w:val="20"/>
                <w:szCs w:val="20"/>
                <w:color w:val="auto"/>
              </w:rPr>
            </w:pPr>
            <w:r>
              <w:rPr>
                <w:rFonts w:ascii="Times New Roman" w:cs="Times New Roman" w:eastAsia="Times New Roman" w:hAnsi="Times New Roman"/>
                <w:sz w:val="20"/>
                <w:szCs w:val="20"/>
                <w:color w:val="313131"/>
                <w:w w:val="99"/>
              </w:rPr>
              <w:t>75</w:t>
            </w:r>
          </w:p>
        </w:tc>
        <w:tc>
          <w:tcPr>
            <w:tcW w:w="0" w:type="dxa"/>
            <w:vAlign w:val="bottom"/>
          </w:tcPr>
          <w:p>
            <w:pPr>
              <w:spacing w:after="0"/>
              <w:rPr>
                <w:sz w:val="1"/>
                <w:szCs w:val="1"/>
                <w:color w:val="auto"/>
              </w:rPr>
            </w:pPr>
          </w:p>
        </w:tc>
      </w:tr>
      <w:tr>
        <w:trPr>
          <w:trHeight w:val="20"/>
        </w:trPr>
        <w:tc>
          <w:tcPr>
            <w:tcW w:w="2320" w:type="dxa"/>
            <w:vAlign w:val="bottom"/>
            <w:shd w:val="clear" w:color="auto" w:fill="313131"/>
          </w:tcPr>
          <w:p>
            <w:pPr>
              <w:spacing w:after="0" w:line="20" w:lineRule="exact"/>
              <w:rPr>
                <w:sz w:val="1"/>
                <w:szCs w:val="1"/>
                <w:color w:val="auto"/>
              </w:rPr>
            </w:pPr>
          </w:p>
        </w:tc>
        <w:tc>
          <w:tcPr>
            <w:tcW w:w="82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300" w:type="dxa"/>
            <w:vAlign w:val="bottom"/>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760" w:type="dxa"/>
            <w:vAlign w:val="bottom"/>
            <w:shd w:val="clear" w:color="auto" w:fill="313131"/>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313131"/>
              </w:rPr>
              <w:t>Consolidated Balance Sheets</w:t>
            </w:r>
          </w:p>
        </w:tc>
        <w:tc>
          <w:tcPr>
            <w:tcW w:w="3480" w:type="dxa"/>
            <w:vAlign w:val="bottom"/>
          </w:tcPr>
          <w:p>
            <w:pPr>
              <w:spacing w:after="0"/>
              <w:rPr>
                <w:sz w:val="19"/>
                <w:szCs w:val="19"/>
                <w:color w:val="auto"/>
              </w:rPr>
            </w:pPr>
          </w:p>
        </w:tc>
        <w:tc>
          <w:tcPr>
            <w:tcW w:w="2460" w:type="dxa"/>
            <w:vAlign w:val="bottom"/>
            <w:gridSpan w:val="4"/>
          </w:tcPr>
          <w:p>
            <w:pPr>
              <w:jc w:val="center"/>
              <w:ind w:left="1960"/>
              <w:spacing w:after="0" w:line="220" w:lineRule="exact"/>
              <w:rPr>
                <w:sz w:val="20"/>
                <w:szCs w:val="20"/>
                <w:color w:val="auto"/>
              </w:rPr>
            </w:pPr>
            <w:r>
              <w:rPr>
                <w:rFonts w:ascii="Times New Roman" w:cs="Times New Roman" w:eastAsia="Times New Roman" w:hAnsi="Times New Roman"/>
                <w:sz w:val="20"/>
                <w:szCs w:val="20"/>
                <w:color w:val="313131"/>
                <w:w w:val="99"/>
              </w:rPr>
              <w:t>77</w:t>
            </w:r>
          </w:p>
        </w:tc>
        <w:tc>
          <w:tcPr>
            <w:tcW w:w="0" w:type="dxa"/>
            <w:vAlign w:val="bottom"/>
          </w:tcPr>
          <w:p>
            <w:pPr>
              <w:spacing w:after="0"/>
              <w:rPr>
                <w:sz w:val="1"/>
                <w:szCs w:val="1"/>
                <w:color w:val="auto"/>
              </w:rPr>
            </w:pPr>
          </w:p>
        </w:tc>
      </w:tr>
      <w:tr>
        <w:trPr>
          <w:trHeight w:val="20"/>
        </w:trPr>
        <w:tc>
          <w:tcPr>
            <w:tcW w:w="2320" w:type="dxa"/>
            <w:vAlign w:val="bottom"/>
            <w:shd w:val="clear" w:color="auto" w:fill="31313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313131"/>
                <w:w w:val="99"/>
              </w:rPr>
              <w:t>Consolidated Statements of Operations</w:t>
            </w:r>
          </w:p>
        </w:tc>
        <w:tc>
          <w:tcPr>
            <w:tcW w:w="5040" w:type="dxa"/>
            <w:vAlign w:val="bottom"/>
            <w:gridSpan w:val="5"/>
          </w:tcPr>
          <w:p>
            <w:pPr>
              <w:spacing w:after="0"/>
              <w:rPr>
                <w:sz w:val="19"/>
                <w:szCs w:val="19"/>
                <w:color w:val="auto"/>
              </w:rPr>
            </w:pPr>
          </w:p>
        </w:tc>
        <w:tc>
          <w:tcPr>
            <w:tcW w:w="2460" w:type="dxa"/>
            <w:vAlign w:val="bottom"/>
            <w:gridSpan w:val="4"/>
          </w:tcPr>
          <w:p>
            <w:pPr>
              <w:jc w:val="center"/>
              <w:ind w:left="1960"/>
              <w:spacing w:after="0" w:line="220" w:lineRule="exact"/>
              <w:rPr>
                <w:sz w:val="20"/>
                <w:szCs w:val="20"/>
                <w:color w:val="auto"/>
              </w:rPr>
            </w:pPr>
            <w:r>
              <w:rPr>
                <w:rFonts w:ascii="Times New Roman" w:cs="Times New Roman" w:eastAsia="Times New Roman" w:hAnsi="Times New Roman"/>
                <w:sz w:val="20"/>
                <w:szCs w:val="20"/>
                <w:color w:val="313131"/>
                <w:w w:val="99"/>
              </w:rPr>
              <w:t>78</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1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313131"/>
              </w:rPr>
              <w:t>Consolidated Statements of Stockholders’ Equity</w:t>
            </w:r>
          </w:p>
        </w:tc>
        <w:tc>
          <w:tcPr>
            <w:tcW w:w="2460" w:type="dxa"/>
            <w:vAlign w:val="bottom"/>
            <w:gridSpan w:val="4"/>
          </w:tcPr>
          <w:p>
            <w:pPr>
              <w:jc w:val="center"/>
              <w:ind w:left="1960"/>
              <w:spacing w:after="0" w:line="220" w:lineRule="exact"/>
              <w:rPr>
                <w:sz w:val="20"/>
                <w:szCs w:val="20"/>
                <w:color w:val="auto"/>
              </w:rPr>
            </w:pPr>
            <w:r>
              <w:rPr>
                <w:rFonts w:ascii="Times New Roman" w:cs="Times New Roman" w:eastAsia="Times New Roman" w:hAnsi="Times New Roman"/>
                <w:sz w:val="20"/>
                <w:szCs w:val="20"/>
                <w:color w:val="313131"/>
                <w:w w:val="99"/>
              </w:rPr>
              <w:t>79</w:t>
            </w: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313131"/>
          </w:tcPr>
          <w:p>
            <w:pPr>
              <w:spacing w:after="0" w:line="20" w:lineRule="exact"/>
              <w:rPr>
                <w:sz w:val="1"/>
                <w:szCs w:val="1"/>
                <w:color w:val="auto"/>
              </w:rPr>
            </w:pPr>
          </w:p>
        </w:tc>
        <w:tc>
          <w:tcPr>
            <w:tcW w:w="300" w:type="dxa"/>
            <w:vAlign w:val="bottom"/>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313131"/>
                <w:w w:val="99"/>
              </w:rPr>
              <w:t>Consolidated Statements of Cash Flows</w:t>
            </w:r>
          </w:p>
        </w:tc>
        <w:tc>
          <w:tcPr>
            <w:tcW w:w="740" w:type="dxa"/>
            <w:vAlign w:val="bottom"/>
            <w:gridSpan w:val="2"/>
          </w:tcPr>
          <w:p>
            <w:pPr>
              <w:spacing w:after="0"/>
              <w:rPr>
                <w:sz w:val="19"/>
                <w:szCs w:val="19"/>
                <w:color w:val="auto"/>
              </w:rPr>
            </w:pPr>
          </w:p>
        </w:tc>
        <w:tc>
          <w:tcPr>
            <w:tcW w:w="4240" w:type="dxa"/>
            <w:vAlign w:val="bottom"/>
            <w:gridSpan w:val="2"/>
          </w:tcPr>
          <w:p>
            <w:pPr>
              <w:spacing w:after="0"/>
              <w:rPr>
                <w:sz w:val="19"/>
                <w:szCs w:val="19"/>
                <w:color w:val="auto"/>
              </w:rPr>
            </w:pPr>
          </w:p>
        </w:tc>
        <w:tc>
          <w:tcPr>
            <w:tcW w:w="2460" w:type="dxa"/>
            <w:vAlign w:val="bottom"/>
            <w:gridSpan w:val="4"/>
          </w:tcPr>
          <w:p>
            <w:pPr>
              <w:jc w:val="center"/>
              <w:ind w:left="1960"/>
              <w:spacing w:after="0" w:line="220" w:lineRule="exact"/>
              <w:rPr>
                <w:sz w:val="20"/>
                <w:szCs w:val="20"/>
                <w:color w:val="auto"/>
              </w:rPr>
            </w:pPr>
            <w:r>
              <w:rPr>
                <w:rFonts w:ascii="Times New Roman" w:cs="Times New Roman" w:eastAsia="Times New Roman" w:hAnsi="Times New Roman"/>
                <w:sz w:val="20"/>
                <w:szCs w:val="20"/>
                <w:color w:val="313131"/>
                <w:w w:val="99"/>
              </w:rPr>
              <w:t>80</w:t>
            </w: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31313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18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313131"/>
              </w:rPr>
              <w:t>Notes to Consolidated Financial Statements</w:t>
            </w:r>
          </w:p>
        </w:tc>
        <w:tc>
          <w:tcPr>
            <w:tcW w:w="2460" w:type="dxa"/>
            <w:vAlign w:val="bottom"/>
            <w:gridSpan w:val="4"/>
          </w:tcPr>
          <w:p>
            <w:pPr>
              <w:jc w:val="center"/>
              <w:ind w:left="1960"/>
              <w:spacing w:after="0" w:line="220" w:lineRule="exact"/>
              <w:rPr>
                <w:sz w:val="20"/>
                <w:szCs w:val="20"/>
                <w:color w:val="auto"/>
              </w:rPr>
            </w:pPr>
            <w:r>
              <w:rPr>
                <w:rFonts w:ascii="Times New Roman" w:cs="Times New Roman" w:eastAsia="Times New Roman" w:hAnsi="Times New Roman"/>
                <w:sz w:val="20"/>
                <w:szCs w:val="20"/>
                <w:color w:val="313131"/>
                <w:w w:val="99"/>
              </w:rPr>
              <w:t>81</w:t>
            </w:r>
          </w:p>
        </w:tc>
        <w:tc>
          <w:tcPr>
            <w:tcW w:w="0" w:type="dxa"/>
            <w:vAlign w:val="bottom"/>
          </w:tcPr>
          <w:p>
            <w:pPr>
              <w:spacing w:after="0"/>
              <w:rPr>
                <w:sz w:val="1"/>
                <w:szCs w:val="1"/>
                <w:color w:val="auto"/>
              </w:rPr>
            </w:pPr>
          </w:p>
        </w:tc>
      </w:tr>
      <w:tr>
        <w:trPr>
          <w:trHeight w:val="484"/>
        </w:trPr>
        <w:tc>
          <w:tcPr>
            <w:tcW w:w="3500" w:type="dxa"/>
            <w:vAlign w:val="bottom"/>
            <w:tcBorders>
              <w:top w:val="single" w:sz="8" w:color="313131"/>
            </w:tcBorders>
            <w:gridSpan w:val="4"/>
          </w:tcPr>
          <w:p>
            <w:pPr>
              <w:spacing w:after="0"/>
              <w:rPr>
                <w:sz w:val="24"/>
                <w:szCs w:val="24"/>
                <w:color w:val="auto"/>
              </w:rPr>
            </w:pPr>
          </w:p>
        </w:tc>
        <w:tc>
          <w:tcPr>
            <w:tcW w:w="4680" w:type="dxa"/>
            <w:vAlign w:val="bottom"/>
            <w:gridSpan w:val="3"/>
          </w:tcPr>
          <w:p>
            <w:pPr>
              <w:jc w:val="right"/>
              <w:ind w:right="2680"/>
              <w:spacing w:after="0"/>
              <w:rPr>
                <w:sz w:val="20"/>
                <w:szCs w:val="20"/>
                <w:color w:val="auto"/>
              </w:rPr>
            </w:pPr>
            <w:r>
              <w:rPr>
                <w:rFonts w:ascii="Times New Roman" w:cs="Times New Roman" w:eastAsia="Times New Roman" w:hAnsi="Times New Roman"/>
                <w:sz w:val="20"/>
                <w:szCs w:val="20"/>
                <w:color w:val="auto"/>
              </w:rPr>
              <w:t>74</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313131"/>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82 / 117</w:t>
      </w:r>
    </w:p>
    <w:p>
      <w:pPr>
        <w:sectPr>
          <w:pgSz w:w="12240" w:h="15840" w:orient="portrait"/>
          <w:cols w:equalWidth="0" w:num="1">
            <w:col w:w="10800"/>
          </w:cols>
          <w:pgMar w:left="720" w:top="788" w:right="720" w:bottom="0" w:gutter="0" w:footer="0" w:header="0"/>
        </w:sectPr>
      </w:pPr>
    </w:p>
    <w:bookmarkStart w:id="82" w:name="page83"/>
    <w:bookmarkEnd w:id="82"/>
    <w:p>
      <w:pPr>
        <w:ind w:left="29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 the Stockholders and the Board of Directors of Filana Therapeutics, Inc.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Filana Therapeutics, Inc. (the Company) (formerly known as Cassava Sciences, Inc.) as of December 31, 2025 and 2024, the related consolidated statements of operations,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83 / 117</w:t>
      </w:r>
    </w:p>
    <w:p>
      <w:pPr>
        <w:sectPr>
          <w:pgSz w:w="12240" w:h="15840" w:orient="portrait"/>
          <w:cols w:equalWidth="0" w:num="1">
            <w:col w:w="10820"/>
          </w:cols>
          <w:pgMar w:left="700" w:top="784" w:right="720" w:bottom="0" w:gutter="0" w:footer="0" w:header="0"/>
        </w:sectPr>
      </w:pPr>
    </w:p>
    <w:bookmarkStart w:id="83" w:name="page84"/>
    <w:bookmarkEnd w:id="83"/>
    <w:p>
      <w:pPr>
        <w:ind w:left="2500"/>
        <w:spacing w:after="0"/>
        <w:rPr>
          <w:sz w:val="20"/>
          <w:szCs w:val="20"/>
          <w:color w:val="auto"/>
        </w:rPr>
      </w:pPr>
      <w:r>
        <w:rPr>
          <w:rFonts w:ascii="Times New Roman" w:cs="Times New Roman" w:eastAsia="Times New Roman" w:hAnsi="Times New Roman"/>
          <w:sz w:val="20"/>
          <w:szCs w:val="20"/>
          <w:b w:val="1"/>
          <w:bCs w:val="1"/>
          <w:i w:val="1"/>
          <w:iCs w:val="1"/>
          <w:color w:val="auto"/>
        </w:rPr>
        <w:t>Loss Contingencies</w:t>
      </w:r>
    </w:p>
    <w:p>
      <w:pPr>
        <w:spacing w:after="0" w:line="250" w:lineRule="exact"/>
        <w:rPr>
          <w:sz w:val="20"/>
          <w:szCs w:val="20"/>
          <w:color w:val="auto"/>
        </w:rPr>
      </w:pPr>
    </w:p>
    <w:p>
      <w:pPr>
        <w:jc w:val="both"/>
        <w:ind w:left="2500" w:hanging="2498"/>
        <w:spacing w:after="0" w:line="258" w:lineRule="auto"/>
        <w:tabs>
          <w:tab w:leader="none" w:pos="2480" w:val="left"/>
        </w:tabs>
        <w:rPr>
          <w:sz w:val="20"/>
          <w:szCs w:val="20"/>
          <w:color w:val="auto"/>
        </w:rPr>
      </w:pPr>
      <w:r>
        <w:rPr>
          <w:rFonts w:ascii="Times New Roman" w:cs="Times New Roman" w:eastAsia="Times New Roman" w:hAnsi="Times New Roman"/>
          <w:sz w:val="20"/>
          <w:szCs w:val="20"/>
          <w:i w:val="1"/>
          <w:iCs w:val="1"/>
          <w:color w:val="auto"/>
        </w:rPr>
        <w:t>Description of the Matter</w:t>
      </w:r>
      <w:r>
        <w:rPr>
          <w:sz w:val="20"/>
          <w:szCs w:val="20"/>
          <w:color w:val="auto"/>
        </w:rPr>
        <w:tab/>
      </w:r>
      <w:r>
        <w:rPr>
          <w:rFonts w:ascii="Times New Roman" w:cs="Times New Roman" w:eastAsia="Times New Roman" w:hAnsi="Times New Roman"/>
          <w:sz w:val="19"/>
          <w:szCs w:val="19"/>
          <w:color w:val="auto"/>
        </w:rPr>
        <w:t>The Company is subject to lawsuits, claims, allegations, and investigations regarding the Company’s terminated clinical trials related to simufilam and SavaDx. As described in Note 12 to the consolidated financial statements, such lawsuits, claims, allegations and investigations can have an adverse impact on the Company and its consolidated financial statements. During the year ended December 31, 2025, the Company recorded loss contingencies of $35.25 million, for certain of its legal matters described in Note</w:t>
      </w:r>
    </w:p>
    <w:p>
      <w:pPr>
        <w:spacing w:after="0" w:line="4" w:lineRule="exact"/>
        <w:rPr>
          <w:sz w:val="20"/>
          <w:szCs w:val="20"/>
          <w:color w:val="auto"/>
        </w:rPr>
      </w:pPr>
    </w:p>
    <w:p>
      <w:pPr>
        <w:jc w:val="both"/>
        <w:ind w:left="2500" w:firstLine="4"/>
        <w:spacing w:after="0" w:line="242" w:lineRule="auto"/>
        <w:tabs>
          <w:tab w:leader="none" w:pos="281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remaining matters described in Note 12 regarding simufilam and SavaDx, the Company believes that the likelihood of an unfavorable outcome is not probable, however, it is reasonably possible that the Company may incur a loss. For those matters, the Company is unable to reasonably estimate the amount or range of potential loss at December 31, 2025.</w:t>
      </w:r>
    </w:p>
    <w:p>
      <w:pPr>
        <w:spacing w:after="0" w:line="194" w:lineRule="exact"/>
        <w:rPr>
          <w:sz w:val="20"/>
          <w:szCs w:val="20"/>
          <w:color w:val="auto"/>
        </w:rPr>
      </w:pPr>
    </w:p>
    <w:p>
      <w:pPr>
        <w:jc w:val="both"/>
        <w:ind w:left="2500"/>
        <w:spacing w:after="0" w:line="258" w:lineRule="auto"/>
        <w:rPr>
          <w:sz w:val="20"/>
          <w:szCs w:val="20"/>
          <w:color w:val="auto"/>
        </w:rPr>
      </w:pPr>
      <w:r>
        <w:rPr>
          <w:rFonts w:ascii="Times New Roman" w:cs="Times New Roman" w:eastAsia="Times New Roman" w:hAnsi="Times New Roman"/>
          <w:sz w:val="20"/>
          <w:szCs w:val="20"/>
          <w:color w:val="auto"/>
        </w:rPr>
        <w:t>Auditing management’s accounting for, and disclosure of, loss contingencies related to the lawsuits, claims, allegations and investigations was challenging because management’s evaluation of the likelihood of loss required judgment.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How We Addressed the Matter </w:t>
      </w:r>
      <w:r>
        <w:rPr>
          <w:rFonts w:ascii="Times New Roman" w:cs="Times New Roman" w:eastAsia="Times New Roman" w:hAnsi="Times New Roman"/>
          <w:sz w:val="20"/>
          <w:szCs w:val="20"/>
          <w:color w:val="auto"/>
        </w:rPr>
        <w:t>Our audit procedures included gaining an understanding of the status of ongoing lawsuits and</w:t>
      </w:r>
    </w:p>
    <w:p>
      <w:pPr>
        <w:spacing w:after="0" w:line="26" w:lineRule="exact"/>
        <w:rPr>
          <w:sz w:val="20"/>
          <w:szCs w:val="20"/>
          <w:color w:val="auto"/>
        </w:rPr>
      </w:pPr>
    </w:p>
    <w:p>
      <w:pPr>
        <w:jc w:val="both"/>
        <w:ind w:left="2500" w:hanging="2498"/>
        <w:spacing w:after="0" w:line="241" w:lineRule="auto"/>
        <w:tabs>
          <w:tab w:leader="none" w:pos="2480" w:val="left"/>
        </w:tabs>
        <w:rPr>
          <w:sz w:val="20"/>
          <w:szCs w:val="20"/>
          <w:color w:val="auto"/>
        </w:rPr>
      </w:pPr>
      <w:r>
        <w:rPr>
          <w:rFonts w:ascii="Times New Roman" w:cs="Times New Roman" w:eastAsia="Times New Roman" w:hAnsi="Times New Roman"/>
          <w:sz w:val="20"/>
          <w:szCs w:val="20"/>
          <w:i w:val="1"/>
          <w:iCs w:val="1"/>
          <w:color w:val="auto"/>
        </w:rPr>
        <w:t>in Our Audit</w:t>
      </w:r>
      <w:r>
        <w:rPr>
          <w:sz w:val="20"/>
          <w:szCs w:val="20"/>
          <w:color w:val="auto"/>
        </w:rPr>
        <w:tab/>
      </w:r>
      <w:r>
        <w:rPr>
          <w:rFonts w:ascii="Times New Roman" w:cs="Times New Roman" w:eastAsia="Times New Roman" w:hAnsi="Times New Roman"/>
          <w:sz w:val="20"/>
          <w:szCs w:val="20"/>
          <w:color w:val="auto"/>
        </w:rPr>
        <w:t>investigations, reading the meeting minutes of the board of directors and of the committees of the board of directors, reading summaries of the proceedings and related correspondence. We also obtained executed and pending settlement agreements, requested letters from internal and external legal counsel, inquired of internal and external legal counsel for developments related to the lawsuits, claims, allegations and investigations, vouched payments to third party evidence and obtained written representations from the Company on these matters. We also evaluated the Company’s disclosures in relation to these matters.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2026</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84 / 117</w:t>
      </w:r>
    </w:p>
    <w:p>
      <w:pPr>
        <w:sectPr>
          <w:pgSz w:w="12240" w:h="15840" w:orient="portrait"/>
          <w:cols w:equalWidth="0" w:num="1">
            <w:col w:w="10800"/>
          </w:cols>
          <w:pgMar w:left="720" w:top="792" w:right="720" w:bottom="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73"/>
        </w:trPr>
        <w:tc>
          <w:tcPr>
            <w:tcW w:w="7680" w:type="dxa"/>
            <w:vAlign w:val="bottom"/>
            <w:gridSpan w:val="2"/>
          </w:tcPr>
          <w:p>
            <w:pPr>
              <w:jc w:val="center"/>
              <w:ind w:left="3020"/>
              <w:spacing w:after="0"/>
              <w:rPr>
                <w:sz w:val="20"/>
                <w:szCs w:val="20"/>
                <w:color w:val="auto"/>
              </w:rPr>
            </w:pPr>
            <w:r>
              <w:rPr>
                <w:rFonts w:ascii="Times New Roman" w:cs="Times New Roman" w:eastAsia="Times New Roman" w:hAnsi="Times New Roman"/>
                <w:sz w:val="20"/>
                <w:szCs w:val="20"/>
                <w:b w:val="1"/>
                <w:bCs w:val="1"/>
                <w:color w:val="auto"/>
              </w:rPr>
              <w:t>FILANA THERAPEUTICS, INC.</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16"/>
        </w:trPr>
        <w:tc>
          <w:tcPr>
            <w:tcW w:w="7680" w:type="dxa"/>
            <w:vAlign w:val="bottom"/>
            <w:gridSpan w:val="2"/>
          </w:tcPr>
          <w:p>
            <w:pPr>
              <w:jc w:val="center"/>
              <w:ind w:left="30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3"/>
        </w:trPr>
        <w:tc>
          <w:tcPr>
            <w:tcW w:w="7680" w:type="dxa"/>
            <w:vAlign w:val="bottom"/>
            <w:gridSpan w:val="2"/>
          </w:tcPr>
          <w:p>
            <w:pPr>
              <w:jc w:val="center"/>
              <w:ind w:left="3020"/>
              <w:spacing w:after="0"/>
              <w:rPr>
                <w:sz w:val="20"/>
                <w:szCs w:val="20"/>
                <w:color w:val="auto"/>
              </w:rPr>
            </w:pPr>
            <w:r>
              <w:rPr>
                <w:rFonts w:ascii="Times New Roman" w:cs="Times New Roman" w:eastAsia="Times New Roman" w:hAnsi="Times New Roman"/>
                <w:sz w:val="20"/>
                <w:szCs w:val="20"/>
                <w:b w:val="1"/>
                <w:bCs w:val="1"/>
                <w:color w:val="auto"/>
                <w:w w:val="99"/>
              </w:rPr>
              <w:t>(In thousands, except share and par value data)</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52"/>
        </w:trPr>
        <w:tc>
          <w:tcPr>
            <w:tcW w:w="757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8"/>
        </w:trPr>
        <w:tc>
          <w:tcPr>
            <w:tcW w:w="757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Pr>
          <w:p>
            <w:pPr>
              <w:spacing w:after="0"/>
              <w:rPr>
                <w:sz w:val="23"/>
                <w:szCs w:val="23"/>
                <w:color w:val="auto"/>
              </w:rPr>
            </w:pPr>
          </w:p>
        </w:tc>
      </w:tr>
      <w:tr>
        <w:trPr>
          <w:trHeight w:val="202"/>
        </w:trPr>
        <w:tc>
          <w:tcPr>
            <w:tcW w:w="757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0"/>
        </w:trPr>
        <w:tc>
          <w:tcPr>
            <w:tcW w:w="7680" w:type="dxa"/>
            <w:vAlign w:val="bottom"/>
            <w:tcBorders>
              <w:right w:val="single" w:sz="8" w:color="E3E3E3"/>
            </w:tcBorders>
            <w:gridSpan w:val="2"/>
            <w:shd w:val="clear" w:color="auto" w:fill="E3E3E3"/>
          </w:tcPr>
          <w:p>
            <w:pPr>
              <w:ind w:left="498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757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1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95,502</w:t>
            </w:r>
          </w:p>
        </w:tc>
        <w:tc>
          <w:tcPr>
            <w:tcW w:w="100" w:type="dxa"/>
            <w:vAlign w:val="bottom"/>
            <w:shd w:val="clear" w:color="auto" w:fill="E3E3E3"/>
          </w:tcPr>
          <w:p>
            <w:pPr>
              <w:spacing w:after="0"/>
              <w:rPr>
                <w:sz w:val="20"/>
                <w:szCs w:val="20"/>
                <w:color w:val="auto"/>
              </w:rPr>
            </w:pPr>
          </w:p>
        </w:tc>
        <w:tc>
          <w:tcPr>
            <w:tcW w:w="12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38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128,574</w:t>
            </w:r>
          </w:p>
        </w:tc>
        <w:tc>
          <w:tcPr>
            <w:tcW w:w="100" w:type="dxa"/>
            <w:vAlign w:val="bottom"/>
            <w:shd w:val="clear" w:color="auto" w:fill="E3E3E3"/>
          </w:tcPr>
          <w:p>
            <w:pPr>
              <w:spacing w:after="0"/>
              <w:rPr>
                <w:sz w:val="20"/>
                <w:szCs w:val="20"/>
                <w:color w:val="auto"/>
              </w:rPr>
            </w:pPr>
          </w:p>
        </w:tc>
      </w:tr>
      <w:tr>
        <w:trPr>
          <w:trHeight w:val="245"/>
        </w:trPr>
        <w:tc>
          <w:tcPr>
            <w:tcW w:w="7680" w:type="dxa"/>
            <w:vAlign w:val="bottom"/>
            <w:tcBorders>
              <w:bottom w:val="single" w:sz="8" w:color="E3E3E3"/>
            </w:tcBorders>
            <w:gridSpan w:val="2"/>
          </w:tcPr>
          <w:p>
            <w:pPr>
              <w:ind w:left="18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2,207</w:t>
            </w:r>
          </w:p>
        </w:tc>
        <w:tc>
          <w:tcPr>
            <w:tcW w:w="100" w:type="dxa"/>
            <w:vAlign w:val="bottom"/>
            <w:tcBorders>
              <w:bottom w:val="single" w:sz="8" w:color="E3E3E3"/>
            </w:tcBorders>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7,958</w:t>
            </w:r>
          </w:p>
        </w:tc>
        <w:tc>
          <w:tcPr>
            <w:tcW w:w="100" w:type="dxa"/>
            <w:vAlign w:val="bottom"/>
            <w:tcBorders>
              <w:bottom w:val="single" w:sz="8" w:color="E3E3E3"/>
            </w:tcBorders>
          </w:tcPr>
          <w:p>
            <w:pPr>
              <w:spacing w:after="0"/>
              <w:rPr>
                <w:sz w:val="21"/>
                <w:szCs w:val="21"/>
                <w:color w:val="auto"/>
              </w:rPr>
            </w:pPr>
          </w:p>
        </w:tc>
      </w:tr>
      <w:tr>
        <w:trPr>
          <w:trHeight w:val="230"/>
        </w:trPr>
        <w:tc>
          <w:tcPr>
            <w:tcW w:w="7570" w:type="dxa"/>
            <w:vAlign w:val="bottom"/>
            <w:shd w:val="clear" w:color="auto" w:fill="E3E3E3"/>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current assets</w:t>
            </w:r>
          </w:p>
        </w:tc>
        <w:tc>
          <w:tcPr>
            <w:tcW w:w="110" w:type="dxa"/>
            <w:vAlign w:val="bottom"/>
            <w:tcBorders>
              <w:right w:val="single" w:sz="8" w:color="E3E3E3"/>
            </w:tcBorders>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97,709</w:t>
            </w:r>
          </w:p>
        </w:tc>
        <w:tc>
          <w:tcPr>
            <w:tcW w:w="100" w:type="dxa"/>
            <w:vAlign w:val="bottom"/>
            <w:shd w:val="clear" w:color="auto" w:fill="E3E3E3"/>
          </w:tcPr>
          <w:p>
            <w:pPr>
              <w:spacing w:after="0"/>
              <w:rPr>
                <w:sz w:val="19"/>
                <w:szCs w:val="19"/>
                <w:color w:val="auto"/>
              </w:rPr>
            </w:pPr>
          </w:p>
        </w:tc>
        <w:tc>
          <w:tcPr>
            <w:tcW w:w="120" w:type="dxa"/>
            <w:vAlign w:val="bottom"/>
            <w:tcBorders>
              <w:right w:val="single" w:sz="8" w:color="E3E3E3"/>
            </w:tcBorders>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80" w:type="dxa"/>
            <w:vAlign w:val="bottom"/>
            <w:shd w:val="clear" w:color="auto" w:fill="E3E3E3"/>
          </w:tcPr>
          <w:p>
            <w:pPr>
              <w:spacing w:after="0"/>
              <w:rPr>
                <w:sz w:val="19"/>
                <w:szCs w:val="19"/>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136,532</w:t>
            </w:r>
          </w:p>
        </w:tc>
        <w:tc>
          <w:tcPr>
            <w:tcW w:w="100" w:type="dxa"/>
            <w:vAlign w:val="bottom"/>
            <w:shd w:val="clear" w:color="auto" w:fill="E3E3E3"/>
          </w:tcPr>
          <w:p>
            <w:pPr>
              <w:spacing w:after="0"/>
              <w:rPr>
                <w:sz w:val="19"/>
                <w:szCs w:val="19"/>
                <w:color w:val="auto"/>
              </w:rPr>
            </w:pPr>
          </w:p>
        </w:tc>
      </w:tr>
      <w:tr>
        <w:trPr>
          <w:trHeight w:val="240"/>
        </w:trPr>
        <w:tc>
          <w:tcPr>
            <w:tcW w:w="7680" w:type="dxa"/>
            <w:vAlign w:val="bottom"/>
            <w:tcBorders>
              <w:bottom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20,646</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E3E3E3"/>
            </w:tcBorders>
          </w:tcPr>
          <w:p>
            <w:pPr>
              <w:spacing w:after="0"/>
              <w:rPr>
                <w:sz w:val="20"/>
                <w:szCs w:val="20"/>
                <w:color w:val="auto"/>
              </w:rPr>
            </w:pPr>
          </w:p>
        </w:tc>
        <w:tc>
          <w:tcPr>
            <w:tcW w:w="9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21,001</w:t>
            </w:r>
          </w:p>
        </w:tc>
        <w:tc>
          <w:tcPr>
            <w:tcW w:w="100" w:type="dxa"/>
            <w:vAlign w:val="bottom"/>
            <w:tcBorders>
              <w:bottom w:val="single" w:sz="8" w:color="E3E3E3"/>
            </w:tcBorders>
          </w:tcPr>
          <w:p>
            <w:pPr>
              <w:spacing w:after="0"/>
              <w:rPr>
                <w:sz w:val="20"/>
                <w:szCs w:val="20"/>
                <w:color w:val="auto"/>
              </w:rPr>
            </w:pPr>
          </w:p>
        </w:tc>
      </w:tr>
      <w:tr>
        <w:trPr>
          <w:trHeight w:val="302"/>
        </w:trPr>
        <w:tc>
          <w:tcPr>
            <w:tcW w:w="7570" w:type="dxa"/>
            <w:vAlign w:val="bottom"/>
            <w:tcBorders>
              <w:bottom w:val="single" w:sz="8" w:color="E3E3E3"/>
            </w:tcBorders>
            <w:shd w:val="clear" w:color="auto" w:fill="E3E3E3"/>
          </w:tcPr>
          <w:p>
            <w:pPr>
              <w:ind w:left="360"/>
              <w:spacing w:after="0" w:line="213" w:lineRule="exact"/>
              <w:rPr>
                <w:sz w:val="20"/>
                <w:szCs w:val="20"/>
                <w:color w:val="auto"/>
              </w:rPr>
            </w:pPr>
            <w:r>
              <w:rPr>
                <w:rFonts w:ascii="Times New Roman" w:cs="Times New Roman" w:eastAsia="Times New Roman" w:hAnsi="Times New Roman"/>
                <w:sz w:val="20"/>
                <w:szCs w:val="20"/>
                <w:color w:val="auto"/>
              </w:rPr>
              <w:t>Total assets</w:t>
            </w:r>
          </w:p>
        </w:tc>
        <w:tc>
          <w:tcPr>
            <w:tcW w:w="110" w:type="dxa"/>
            <w:vAlign w:val="bottom"/>
            <w:tcBorders>
              <w:bottom w:val="single" w:sz="8" w:color="E3E3E3"/>
              <w:right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118,355</w:t>
            </w:r>
          </w:p>
        </w:tc>
        <w:tc>
          <w:tcPr>
            <w:tcW w:w="10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E3E3E3"/>
              <w:right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380" w:type="dxa"/>
            <w:vAlign w:val="bottom"/>
            <w:tcBorders>
              <w:bottom w:val="single" w:sz="8" w:color="E3E3E3"/>
            </w:tcBorders>
            <w:shd w:val="clear" w:color="auto" w:fill="E3E3E3"/>
          </w:tcPr>
          <w:p>
            <w:pPr>
              <w:spacing w:after="0"/>
              <w:rPr>
                <w:sz w:val="24"/>
                <w:szCs w:val="24"/>
                <w:color w:val="auto"/>
              </w:rPr>
            </w:pPr>
          </w:p>
        </w:tc>
        <w:tc>
          <w:tcPr>
            <w:tcW w:w="92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157,533</w:t>
            </w:r>
          </w:p>
        </w:tc>
        <w:tc>
          <w:tcPr>
            <w:tcW w:w="100" w:type="dxa"/>
            <w:vAlign w:val="bottom"/>
            <w:tcBorders>
              <w:bottom w:val="single" w:sz="8" w:color="E3E3E3"/>
            </w:tcBorders>
            <w:shd w:val="clear" w:color="auto" w:fill="E3E3E3"/>
          </w:tcPr>
          <w:p>
            <w:pPr>
              <w:spacing w:after="0"/>
              <w:rPr>
                <w:sz w:val="24"/>
                <w:szCs w:val="24"/>
                <w:color w:val="auto"/>
              </w:rPr>
            </w:pPr>
          </w:p>
        </w:tc>
      </w:tr>
      <w:tr>
        <w:trPr>
          <w:trHeight w:val="198"/>
        </w:trPr>
        <w:tc>
          <w:tcPr>
            <w:tcW w:w="7680" w:type="dxa"/>
            <w:vAlign w:val="bottom"/>
            <w:tcBorders>
              <w:top w:val="single" w:sz="8" w:color="E3E3E3"/>
            </w:tcBorders>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E3E3E3"/>
            </w:tcBorders>
          </w:tcPr>
          <w:p>
            <w:pPr>
              <w:spacing w:after="0"/>
              <w:rPr>
                <w:sz w:val="17"/>
                <w:szCs w:val="17"/>
                <w:color w:val="auto"/>
              </w:rPr>
            </w:pPr>
          </w:p>
        </w:tc>
        <w:tc>
          <w:tcPr>
            <w:tcW w:w="120" w:type="dxa"/>
            <w:vAlign w:val="bottom"/>
            <w:tcBorders>
              <w:top w:val="single" w:sz="8" w:color="E3E3E3"/>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E3E3E3"/>
            </w:tcBorders>
          </w:tcPr>
          <w:p>
            <w:pPr>
              <w:spacing w:after="0"/>
              <w:rPr>
                <w:sz w:val="17"/>
                <w:szCs w:val="17"/>
                <w:color w:val="auto"/>
              </w:rPr>
            </w:pPr>
          </w:p>
        </w:tc>
      </w:tr>
      <w:tr>
        <w:trPr>
          <w:trHeight w:val="241"/>
        </w:trPr>
        <w:tc>
          <w:tcPr>
            <w:tcW w:w="7680" w:type="dxa"/>
            <w:vAlign w:val="bottom"/>
            <w:tcBorders>
              <w:right w:val="single" w:sz="8" w:color="E3E3E3"/>
            </w:tcBorders>
            <w:gridSpan w:val="2"/>
            <w:shd w:val="clear" w:color="auto" w:fill="E3E3E3"/>
          </w:tcPr>
          <w:p>
            <w:pPr>
              <w:ind w:left="318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5"/>
        </w:trPr>
        <w:tc>
          <w:tcPr>
            <w:tcW w:w="757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Accounts payable and other accrued expenses</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41,647</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380" w:type="dxa"/>
            <w:vAlign w:val="bottom"/>
            <w:tcBorders>
              <w:bottom w:val="single" w:sz="8" w:color="E3E3E3"/>
            </w:tcBorders>
            <w:shd w:val="clear" w:color="auto" w:fill="E3E3E3"/>
          </w:tcPr>
          <w:p>
            <w:pPr>
              <w:spacing w:after="0"/>
              <w:rPr>
                <w:sz w:val="20"/>
                <w:szCs w:val="20"/>
                <w:color w:val="auto"/>
              </w:rPr>
            </w:pPr>
          </w:p>
        </w:tc>
        <w:tc>
          <w:tcPr>
            <w:tcW w:w="9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7,654</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25"/>
        </w:trPr>
        <w:tc>
          <w:tcPr>
            <w:tcW w:w="7680" w:type="dxa"/>
            <w:vAlign w:val="bottom"/>
            <w:gridSpan w:val="2"/>
          </w:tcPr>
          <w:p>
            <w:pPr>
              <w:ind w:left="180"/>
              <w:spacing w:after="0" w:line="225" w:lineRule="exact"/>
              <w:rPr>
                <w:sz w:val="20"/>
                <w:szCs w:val="20"/>
                <w:color w:val="auto"/>
              </w:rPr>
            </w:pPr>
            <w:r>
              <w:rPr>
                <w:rFonts w:ascii="Times New Roman" w:cs="Times New Roman" w:eastAsia="Times New Roman" w:hAnsi="Times New Roman"/>
                <w:sz w:val="20"/>
                <w:szCs w:val="20"/>
                <w:color w:val="auto"/>
              </w:rPr>
              <w:t>Accrued development expense</w:t>
            </w:r>
          </w:p>
        </w:tc>
        <w:tc>
          <w:tcPr>
            <w:tcW w:w="1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2,440</w:t>
            </w:r>
          </w:p>
        </w:tc>
        <w:tc>
          <w:tcPr>
            <w:tcW w:w="100" w:type="dxa"/>
            <w:vAlign w:val="bottom"/>
          </w:tcPr>
          <w:p>
            <w:pPr>
              <w:spacing w:after="0"/>
              <w:rPr>
                <w:sz w:val="19"/>
                <w:szCs w:val="19"/>
                <w:color w:val="auto"/>
              </w:rPr>
            </w:pPr>
          </w:p>
        </w:tc>
      </w:tr>
      <w:tr>
        <w:trPr>
          <w:trHeight w:val="235"/>
        </w:trPr>
        <w:tc>
          <w:tcPr>
            <w:tcW w:w="757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1,625</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380" w:type="dxa"/>
            <w:vAlign w:val="bottom"/>
            <w:tcBorders>
              <w:bottom w:val="single" w:sz="8" w:color="E3E3E3"/>
            </w:tcBorders>
            <w:shd w:val="clear" w:color="auto" w:fill="E3E3E3"/>
          </w:tcPr>
          <w:p>
            <w:pPr>
              <w:spacing w:after="0"/>
              <w:rPr>
                <w:sz w:val="20"/>
                <w:szCs w:val="20"/>
                <w:color w:val="auto"/>
              </w:rPr>
            </w:pPr>
          </w:p>
        </w:tc>
        <w:tc>
          <w:tcPr>
            <w:tcW w:w="9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30"/>
        </w:trPr>
        <w:tc>
          <w:tcPr>
            <w:tcW w:w="7680" w:type="dxa"/>
            <w:vAlign w:val="bottom"/>
            <w:tcBorders>
              <w:bottom w:val="single" w:sz="8" w:color="E3E3E3"/>
            </w:tcBorders>
            <w:gridSpan w:val="2"/>
          </w:tcPr>
          <w:p>
            <w:pPr>
              <w:ind w:left="18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100" w:type="dxa"/>
            <w:vAlign w:val="bottom"/>
            <w:tcBorders>
              <w:bottom w:val="single" w:sz="8" w:color="E3E3E3"/>
            </w:tcBorders>
          </w:tcPr>
          <w:p>
            <w:pPr>
              <w:spacing w:after="0"/>
              <w:rPr>
                <w:sz w:val="19"/>
                <w:szCs w:val="19"/>
                <w:color w:val="auto"/>
              </w:rPr>
            </w:pPr>
          </w:p>
        </w:tc>
      </w:tr>
      <w:tr>
        <w:trPr>
          <w:trHeight w:val="225"/>
        </w:trPr>
        <w:tc>
          <w:tcPr>
            <w:tcW w:w="7570" w:type="dxa"/>
            <w:vAlign w:val="bottom"/>
            <w:tcBorders>
              <w:bottom w:val="single" w:sz="8" w:color="E3E3E3"/>
            </w:tcBorders>
            <w:shd w:val="clear" w:color="auto" w:fill="E3E3E3"/>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current liabilities</w:t>
            </w:r>
          </w:p>
        </w:tc>
        <w:tc>
          <w:tcPr>
            <w:tcW w:w="110" w:type="dxa"/>
            <w:vAlign w:val="bottom"/>
            <w:tcBorders>
              <w:bottom w:val="single" w:sz="8" w:color="E3E3E3"/>
              <w:right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3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43,834</w:t>
            </w:r>
          </w:p>
        </w:tc>
        <w:tc>
          <w:tcPr>
            <w:tcW w:w="100" w:type="dxa"/>
            <w:vAlign w:val="bottom"/>
            <w:tcBorders>
              <w:bottom w:val="single" w:sz="8" w:color="E3E3E3"/>
            </w:tcBorders>
            <w:shd w:val="clear" w:color="auto" w:fill="E3E3E3"/>
          </w:tcPr>
          <w:p>
            <w:pPr>
              <w:spacing w:after="0"/>
              <w:rPr>
                <w:sz w:val="19"/>
                <w:szCs w:val="19"/>
                <w:color w:val="auto"/>
              </w:rPr>
            </w:pPr>
          </w:p>
        </w:tc>
        <w:tc>
          <w:tcPr>
            <w:tcW w:w="120" w:type="dxa"/>
            <w:vAlign w:val="bottom"/>
            <w:tcBorders>
              <w:bottom w:val="single" w:sz="8" w:color="E3E3E3"/>
              <w:right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380" w:type="dxa"/>
            <w:vAlign w:val="bottom"/>
            <w:tcBorders>
              <w:bottom w:val="single" w:sz="8" w:color="E3E3E3"/>
            </w:tcBorders>
            <w:shd w:val="clear" w:color="auto" w:fill="E3E3E3"/>
          </w:tcPr>
          <w:p>
            <w:pPr>
              <w:spacing w:after="0"/>
              <w:rPr>
                <w:sz w:val="19"/>
                <w:szCs w:val="19"/>
                <w:color w:val="auto"/>
              </w:rPr>
            </w:pPr>
          </w:p>
        </w:tc>
        <w:tc>
          <w:tcPr>
            <w:tcW w:w="92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11,750</w:t>
            </w:r>
          </w:p>
        </w:tc>
        <w:tc>
          <w:tcPr>
            <w:tcW w:w="100" w:type="dxa"/>
            <w:vAlign w:val="bottom"/>
            <w:tcBorders>
              <w:bottom w:val="single" w:sz="8" w:color="E3E3E3"/>
            </w:tcBorders>
            <w:shd w:val="clear" w:color="auto" w:fill="E3E3E3"/>
          </w:tcPr>
          <w:p>
            <w:pPr>
              <w:spacing w:after="0"/>
              <w:rPr>
                <w:sz w:val="19"/>
                <w:szCs w:val="19"/>
                <w:color w:val="auto"/>
              </w:rPr>
            </w:pPr>
          </w:p>
        </w:tc>
      </w:tr>
      <w:tr>
        <w:trPr>
          <w:trHeight w:val="227"/>
        </w:trPr>
        <w:tc>
          <w:tcPr>
            <w:tcW w:w="7680" w:type="dxa"/>
            <w:vAlign w:val="bottom"/>
            <w:tcBorders>
              <w:bottom w:val="single" w:sz="8" w:color="E3E3E3"/>
            </w:tcBorders>
            <w:gridSpan w:val="2"/>
          </w:tcPr>
          <w:p>
            <w:pPr>
              <w:spacing w:after="0" w:line="228" w:lineRule="exact"/>
              <w:rPr>
                <w:sz w:val="20"/>
                <w:szCs w:val="20"/>
                <w:color w:val="auto"/>
              </w:rPr>
            </w:pPr>
            <w:r>
              <w:rPr>
                <w:rFonts w:ascii="Times New Roman" w:cs="Times New Roman" w:eastAsia="Times New Roman" w:hAnsi="Times New Roman"/>
                <w:sz w:val="20"/>
                <w:szCs w:val="20"/>
                <w:color w:val="auto"/>
              </w:rPr>
              <w:t>Other non-current liabilities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118</w:t>
            </w: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79</w:t>
            </w:r>
          </w:p>
        </w:tc>
        <w:tc>
          <w:tcPr>
            <w:tcW w:w="100" w:type="dxa"/>
            <w:vAlign w:val="bottom"/>
            <w:tcBorders>
              <w:bottom w:val="single" w:sz="8" w:color="E3E3E3"/>
            </w:tcBorders>
          </w:tcPr>
          <w:p>
            <w:pPr>
              <w:spacing w:after="0"/>
              <w:rPr>
                <w:sz w:val="19"/>
                <w:szCs w:val="19"/>
                <w:color w:val="auto"/>
              </w:rPr>
            </w:pPr>
          </w:p>
        </w:tc>
      </w:tr>
      <w:tr>
        <w:trPr>
          <w:trHeight w:val="242"/>
        </w:trPr>
        <w:tc>
          <w:tcPr>
            <w:tcW w:w="7570" w:type="dxa"/>
            <w:vAlign w:val="bottom"/>
            <w:tcBorders>
              <w:bottom w:val="single" w:sz="8" w:color="E3E3E3"/>
            </w:tcBorders>
            <w:shd w:val="clear" w:color="auto" w:fill="E3E3E3"/>
          </w:tcPr>
          <w:p>
            <w:pPr>
              <w:ind w:left="360"/>
              <w:spacing w:after="0" w:line="223" w:lineRule="exact"/>
              <w:rPr>
                <w:sz w:val="20"/>
                <w:szCs w:val="20"/>
                <w:color w:val="auto"/>
              </w:rPr>
            </w:pPr>
            <w:r>
              <w:rPr>
                <w:rFonts w:ascii="Times New Roman" w:cs="Times New Roman" w:eastAsia="Times New Roman" w:hAnsi="Times New Roman"/>
                <w:sz w:val="20"/>
                <w:szCs w:val="20"/>
                <w:color w:val="auto"/>
              </w:rPr>
              <w:t>Total liabilities</w:t>
            </w:r>
          </w:p>
        </w:tc>
        <w:tc>
          <w:tcPr>
            <w:tcW w:w="110" w:type="dxa"/>
            <w:vAlign w:val="bottom"/>
            <w:tcBorders>
              <w:bottom w:val="single" w:sz="8" w:color="E3E3E3"/>
              <w:right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1300" w:type="dxa"/>
            <w:vAlign w:val="bottom"/>
            <w:tcBorders>
              <w:bottom w:val="single" w:sz="8" w:color="auto"/>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43,952</w:t>
            </w:r>
          </w:p>
        </w:tc>
        <w:tc>
          <w:tcPr>
            <w:tcW w:w="10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right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38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11,829</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22"/>
        </w:trPr>
        <w:tc>
          <w:tcPr>
            <w:tcW w:w="768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color w:val="auto"/>
              </w:rPr>
              <w:t>Commitments and contingencies (Notes 10, 11 and 12)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757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380" w:type="dxa"/>
            <w:vAlign w:val="bottom"/>
            <w:tcBorders>
              <w:bottom w:val="single" w:sz="8" w:color="E3E3E3"/>
            </w:tcBorders>
            <w:shd w:val="clear" w:color="auto" w:fill="E3E3E3"/>
          </w:tcPr>
          <w:p>
            <w:pPr>
              <w:spacing w:after="0"/>
              <w:rPr>
                <w:sz w:val="20"/>
                <w:szCs w:val="20"/>
                <w:color w:val="auto"/>
              </w:rPr>
            </w:pPr>
          </w:p>
        </w:tc>
        <w:tc>
          <w:tcPr>
            <w:tcW w:w="9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r>
      <w:tr>
        <w:trPr>
          <w:trHeight w:val="222"/>
        </w:trPr>
        <w:tc>
          <w:tcPr>
            <w:tcW w:w="757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highlight w:val="white"/>
              </w:rPr>
              <w:t>Preferred stock, $0.001 par value; 10,000,000 shares authorized, none issued and outstanding</w:t>
            </w:r>
          </w:p>
        </w:tc>
        <w:tc>
          <w:tcPr>
            <w:tcW w:w="1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35"/>
        </w:trPr>
        <w:tc>
          <w:tcPr>
            <w:tcW w:w="757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shd w:val="clear" w:color="auto" w:fill="E3E3E3"/>
              </w:rPr>
              <w:t>Common stock, $0.001 par value; 120,000,000 shares authorized; 48,307,896 and 48,203,179</w:t>
            </w:r>
          </w:p>
        </w:tc>
        <w:tc>
          <w:tcPr>
            <w:tcW w:w="11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30"/>
        </w:trPr>
        <w:tc>
          <w:tcPr>
            <w:tcW w:w="757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shares issued and outstanding at December 31, 2025 and 2024, respectively</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380" w:type="dxa"/>
            <w:vAlign w:val="bottom"/>
            <w:tcBorders>
              <w:bottom w:val="single" w:sz="8" w:color="E3E3E3"/>
            </w:tcBorders>
            <w:shd w:val="clear" w:color="auto" w:fill="E3E3E3"/>
          </w:tcPr>
          <w:p>
            <w:pPr>
              <w:spacing w:after="0"/>
              <w:rPr>
                <w:sz w:val="20"/>
                <w:szCs w:val="20"/>
                <w:color w:val="auto"/>
              </w:rPr>
            </w:pPr>
          </w:p>
        </w:tc>
        <w:tc>
          <w:tcPr>
            <w:tcW w:w="9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25"/>
        </w:trPr>
        <w:tc>
          <w:tcPr>
            <w:tcW w:w="7680" w:type="dxa"/>
            <w:vAlign w:val="bottom"/>
            <w:tcBorders>
              <w:bottom w:val="single" w:sz="8" w:color="E3E3E3"/>
            </w:tcBorders>
            <w:gridSpan w:val="2"/>
          </w:tcPr>
          <w:p>
            <w:pPr>
              <w:ind w:left="180"/>
              <w:spacing w:after="0" w:line="225" w:lineRule="exact"/>
              <w:rPr>
                <w:sz w:val="20"/>
                <w:szCs w:val="20"/>
                <w:color w:val="auto"/>
              </w:rPr>
            </w:pPr>
            <w:r>
              <w:rPr>
                <w:rFonts w:ascii="Times New Roman" w:cs="Times New Roman" w:eastAsia="Times New Roman" w:hAnsi="Times New Roman"/>
                <w:sz w:val="20"/>
                <w:szCs w:val="20"/>
                <w:color w:val="auto"/>
              </w:rPr>
              <w:t>Additional paid-in capital</w:t>
            </w: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570,439</w:t>
            </w: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380" w:type="dxa"/>
            <w:vAlign w:val="bottom"/>
            <w:tcBorders>
              <w:bottom w:val="single" w:sz="8" w:color="E3E3E3"/>
            </w:tcBorders>
          </w:tcPr>
          <w:p>
            <w:pPr>
              <w:spacing w:after="0"/>
              <w:rPr>
                <w:sz w:val="19"/>
                <w:szCs w:val="19"/>
                <w:color w:val="auto"/>
              </w:rPr>
            </w:pPr>
          </w:p>
        </w:tc>
        <w:tc>
          <w:tcPr>
            <w:tcW w:w="92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550,767</w:t>
            </w:r>
          </w:p>
        </w:tc>
        <w:tc>
          <w:tcPr>
            <w:tcW w:w="100" w:type="dxa"/>
            <w:vAlign w:val="bottom"/>
            <w:tcBorders>
              <w:bottom w:val="single" w:sz="8" w:color="E3E3E3"/>
            </w:tcBorders>
          </w:tcPr>
          <w:p>
            <w:pPr>
              <w:spacing w:after="0"/>
              <w:rPr>
                <w:sz w:val="19"/>
                <w:szCs w:val="19"/>
                <w:color w:val="auto"/>
              </w:rPr>
            </w:pPr>
          </w:p>
        </w:tc>
      </w:tr>
      <w:tr>
        <w:trPr>
          <w:trHeight w:val="236"/>
        </w:trPr>
        <w:tc>
          <w:tcPr>
            <w:tcW w:w="7570" w:type="dxa"/>
            <w:vAlign w:val="bottom"/>
            <w:tcBorders>
              <w:bottom w:val="single" w:sz="8" w:color="E3E3E3"/>
            </w:tcBorders>
            <w:shd w:val="clear" w:color="auto" w:fill="E3E3E3"/>
          </w:tcPr>
          <w:p>
            <w:pPr>
              <w:ind w:left="180"/>
              <w:spacing w:after="0" w:line="216" w:lineRule="exact"/>
              <w:rPr>
                <w:sz w:val="20"/>
                <w:szCs w:val="20"/>
                <w:color w:val="auto"/>
              </w:rPr>
            </w:pPr>
            <w:r>
              <w:rPr>
                <w:rFonts w:ascii="Times New Roman" w:cs="Times New Roman" w:eastAsia="Times New Roman" w:hAnsi="Times New Roman"/>
                <w:sz w:val="20"/>
                <w:szCs w:val="20"/>
                <w:color w:val="auto"/>
              </w:rPr>
              <w:t>Accumulated deficit</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(496,084)</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380" w:type="dxa"/>
            <w:vAlign w:val="bottom"/>
            <w:tcBorders>
              <w:bottom w:val="single" w:sz="8" w:color="E3E3E3"/>
            </w:tcBorders>
            <w:shd w:val="clear" w:color="auto" w:fill="E3E3E3"/>
          </w:tcPr>
          <w:p>
            <w:pPr>
              <w:spacing w:after="0"/>
              <w:rPr>
                <w:sz w:val="20"/>
                <w:szCs w:val="20"/>
                <w:color w:val="auto"/>
              </w:rPr>
            </w:pPr>
          </w:p>
        </w:tc>
        <w:tc>
          <w:tcPr>
            <w:tcW w:w="92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(405,111)</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8"/>
        </w:trPr>
        <w:tc>
          <w:tcPr>
            <w:tcW w:w="7570" w:type="dxa"/>
            <w:vAlign w:val="bottom"/>
            <w:tcBorders>
              <w:bottom w:val="single" w:sz="8" w:color="E3E3E3"/>
            </w:tcBorders>
          </w:tcPr>
          <w:p>
            <w:pPr>
              <w:ind w:left="360"/>
              <w:spacing w:after="0" w:line="218" w:lineRule="exact"/>
              <w:rPr>
                <w:sz w:val="20"/>
                <w:szCs w:val="20"/>
                <w:color w:val="auto"/>
              </w:rPr>
            </w:pPr>
            <w:r>
              <w:rPr>
                <w:rFonts w:ascii="Times New Roman" w:cs="Times New Roman" w:eastAsia="Times New Roman" w:hAnsi="Times New Roman"/>
                <w:sz w:val="20"/>
                <w:szCs w:val="20"/>
                <w:color w:val="auto"/>
              </w:rPr>
              <w:t>Total stockholders' equity</w:t>
            </w:r>
          </w:p>
        </w:tc>
        <w:tc>
          <w:tcPr>
            <w:tcW w:w="110" w:type="dxa"/>
            <w:vAlign w:val="bottom"/>
            <w:tcBorders>
              <w:bottom w:val="single" w:sz="8" w:color="E3E3E3"/>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74,403</w:t>
            </w:r>
          </w:p>
        </w:tc>
        <w:tc>
          <w:tcPr>
            <w:tcW w:w="100" w:type="dxa"/>
            <w:vAlign w:val="bottom"/>
            <w:tcBorders>
              <w:top w:val="single" w:sz="8" w:color="E3E3E3"/>
              <w:bottom w:val="single" w:sz="8" w:color="E3E3E3"/>
            </w:tcBorders>
          </w:tcPr>
          <w:p>
            <w:pPr>
              <w:spacing w:after="0"/>
              <w:rPr>
                <w:sz w:val="18"/>
                <w:szCs w:val="18"/>
                <w:color w:val="auto"/>
              </w:rPr>
            </w:pPr>
          </w:p>
        </w:tc>
        <w:tc>
          <w:tcPr>
            <w:tcW w:w="120" w:type="dxa"/>
            <w:vAlign w:val="bottom"/>
            <w:tcBorders>
              <w:top w:val="single" w:sz="8" w:color="E3E3E3"/>
              <w:bottom w:val="single" w:sz="8" w:color="E3E3E3"/>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145,704</w:t>
            </w:r>
          </w:p>
        </w:tc>
        <w:tc>
          <w:tcPr>
            <w:tcW w:w="100" w:type="dxa"/>
            <w:vAlign w:val="bottom"/>
            <w:tcBorders>
              <w:bottom w:val="single" w:sz="8" w:color="E3E3E3"/>
            </w:tcBorders>
          </w:tcPr>
          <w:p>
            <w:pPr>
              <w:spacing w:after="0"/>
              <w:rPr>
                <w:sz w:val="18"/>
                <w:szCs w:val="18"/>
                <w:color w:val="auto"/>
              </w:rPr>
            </w:pPr>
          </w:p>
        </w:tc>
      </w:tr>
      <w:tr>
        <w:trPr>
          <w:trHeight w:val="265"/>
        </w:trPr>
        <w:tc>
          <w:tcPr>
            <w:tcW w:w="7570" w:type="dxa"/>
            <w:vAlign w:val="bottom"/>
            <w:tcBorders>
              <w:bottom w:val="single" w:sz="8" w:color="E3E3E3"/>
            </w:tcBorders>
            <w:shd w:val="clear" w:color="auto" w:fill="E3E3E3"/>
          </w:tcPr>
          <w:p>
            <w:pPr>
              <w:ind w:left="360"/>
              <w:spacing w:after="0" w:line="229"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11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rPr>
              <w:t>118,355</w:t>
            </w:r>
          </w:p>
        </w:tc>
        <w:tc>
          <w:tcPr>
            <w:tcW w:w="10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380" w:type="dxa"/>
            <w:vAlign w:val="bottom"/>
            <w:tcBorders>
              <w:bottom w:val="single" w:sz="8" w:color="E3E3E3"/>
            </w:tcBorders>
            <w:shd w:val="clear" w:color="auto" w:fill="E3E3E3"/>
          </w:tcPr>
          <w:p>
            <w:pPr>
              <w:spacing w:after="0"/>
              <w:rPr>
                <w:sz w:val="22"/>
                <w:szCs w:val="22"/>
                <w:color w:val="auto"/>
              </w:rPr>
            </w:pPr>
          </w:p>
        </w:tc>
        <w:tc>
          <w:tcPr>
            <w:tcW w:w="920" w:type="dxa"/>
            <w:vAlign w:val="bottom"/>
            <w:tcBorders>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rPr>
              <w:t>157,533</w:t>
            </w:r>
          </w:p>
        </w:tc>
        <w:tc>
          <w:tcPr>
            <w:tcW w:w="100" w:type="dxa"/>
            <w:vAlign w:val="bottom"/>
            <w:tcBorders>
              <w:bottom w:val="single" w:sz="8" w:color="E3E3E3"/>
            </w:tcBorders>
            <w:shd w:val="clear" w:color="auto" w:fill="E3E3E3"/>
          </w:tcPr>
          <w:p>
            <w:pPr>
              <w:spacing w:after="0"/>
              <w:rPr>
                <w:sz w:val="22"/>
                <w:szCs w:val="22"/>
                <w:color w:val="auto"/>
              </w:rPr>
            </w:pPr>
          </w:p>
        </w:tc>
      </w:tr>
      <w:tr>
        <w:trPr>
          <w:trHeight w:val="20"/>
        </w:trPr>
        <w:tc>
          <w:tcPr>
            <w:tcW w:w="757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-2980690</wp:posOffset>
                </wp:positionV>
                <wp:extent cx="486854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34.6999pt" to="383.55pt,-234.6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-1423670</wp:posOffset>
                </wp:positionV>
                <wp:extent cx="486854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2.0999pt" to="383.55pt,-112.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-1423670</wp:posOffset>
                </wp:positionV>
                <wp:extent cx="13589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112.0999pt" to="464.6pt,-112.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-1423670</wp:posOffset>
                </wp:positionV>
                <wp:extent cx="6858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112.0999pt" to="540.3pt,-112.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-1113790</wp:posOffset>
                </wp:positionV>
                <wp:extent cx="109728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87.6999pt" to="540.3pt,-87.6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-964565</wp:posOffset>
                </wp:positionV>
                <wp:extent cx="576199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19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75.9499pt" to="453.9pt,-75.9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-353060</wp:posOffset>
                </wp:positionV>
                <wp:extent cx="13589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27.7999pt" to="464.6pt,-27.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-198120</wp:posOffset>
                </wp:positionV>
                <wp:extent cx="685927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191">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5.5999pt" to="540.3pt,-15.5999pt" o:allowincell="f" strokecolor="#FFFFFF" strokeweight="0.9599pt"/>
            </w:pict>
          </mc:Fallback>
        </mc:AlternateConten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85 / 117</w:t>
      </w:r>
    </w:p>
    <w:p>
      <w:pPr>
        <w:sectPr>
          <w:pgSz w:w="12240" w:h="15840" w:orient="portrait"/>
          <w:cols w:equalWidth="0" w:num="1">
            <w:col w:w="10800"/>
          </w:cols>
          <w:pgMar w:left="720" w:top="1060" w:right="720" w:bottom="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FILANA THERAPEUTICS,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12"/>
          </w:tcPr>
          <w:p>
            <w:pPr>
              <w:ind w:left="108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950" w:type="dxa"/>
            <w:vAlign w:val="bottom"/>
            <w:tcBorders>
              <w:bottom w:val="single" w:sz="8" w:color="E3E3E3"/>
            </w:tcBorders>
          </w:tcPr>
          <w:p>
            <w:pPr>
              <w:spacing w:after="0"/>
              <w:rPr>
                <w:sz w:val="20"/>
                <w:szCs w:val="20"/>
                <w:color w:val="auto"/>
              </w:rPr>
            </w:pPr>
          </w:p>
        </w:tc>
        <w:tc>
          <w:tcPr>
            <w:tcW w:w="9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50" w:type="dxa"/>
            <w:vAlign w:val="bottom"/>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Operating expenses:</w:t>
            </w:r>
          </w:p>
        </w:tc>
        <w:tc>
          <w:tcPr>
            <w:tcW w:w="9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60" w:type="dxa"/>
            <w:vAlign w:val="bottom"/>
            <w:tcBorders>
              <w:bottom w:val="single" w:sz="8" w:color="E3E3E3"/>
            </w:tcBorders>
            <w:gridSpan w:val="3"/>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26,590</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E3E3E3"/>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69,637</w:t>
            </w:r>
          </w:p>
        </w:tc>
        <w:tc>
          <w:tcPr>
            <w:tcW w:w="20" w:type="dxa"/>
            <w:vAlign w:val="bottom"/>
            <w:tcBorders>
              <w:bottom w:val="single" w:sz="8" w:color="E3E3E3"/>
            </w:tcBorders>
          </w:tcPr>
          <w:p>
            <w:pPr>
              <w:spacing w:after="0"/>
              <w:rPr>
                <w:sz w:val="20"/>
                <w:szCs w:val="20"/>
                <w:color w:val="auto"/>
              </w:rPr>
            </w:pPr>
          </w:p>
        </w:tc>
        <w:tc>
          <w:tcPr>
            <w:tcW w:w="300" w:type="dxa"/>
            <w:vAlign w:val="bottom"/>
            <w:tcBorders>
              <w:bottom w:val="single" w:sz="8" w:color="E3E3E3"/>
            </w:tcBorders>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20"/>
                <w:szCs w:val="20"/>
                <w:color w:val="auto"/>
              </w:rPr>
            </w:pPr>
          </w:p>
        </w:tc>
        <w:tc>
          <w:tcPr>
            <w:tcW w:w="104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89,423</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95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General and administrative</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68,800</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71,809</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16,534</w:t>
            </w: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50" w:type="dxa"/>
            <w:vAlign w:val="bottom"/>
            <w:tcBorders>
              <w:bottom w:val="single" w:sz="8" w:color="E3E3E3"/>
            </w:tcBorders>
          </w:tcPr>
          <w:p>
            <w:pPr>
              <w:ind w:left="360"/>
              <w:spacing w:after="0" w:line="218" w:lineRule="exact"/>
              <w:rPr>
                <w:sz w:val="20"/>
                <w:szCs w:val="20"/>
                <w:color w:val="auto"/>
              </w:rPr>
            </w:pPr>
            <w:r>
              <w:rPr>
                <w:rFonts w:ascii="Times New Roman" w:cs="Times New Roman" w:eastAsia="Times New Roman" w:hAnsi="Times New Roman"/>
                <w:sz w:val="20"/>
                <w:szCs w:val="20"/>
                <w:color w:val="auto"/>
              </w:rPr>
              <w:t>Total operating expenses</w:t>
            </w:r>
          </w:p>
        </w:tc>
        <w:tc>
          <w:tcPr>
            <w:tcW w:w="9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95,390</w:t>
            </w:r>
          </w:p>
        </w:tc>
        <w:tc>
          <w:tcPr>
            <w:tcW w:w="100" w:type="dxa"/>
            <w:vAlign w:val="bottom"/>
            <w:tcBorders>
              <w:top w:val="single" w:sz="8" w:color="E3E3E3"/>
              <w:bottom w:val="single" w:sz="8" w:color="E3E3E3"/>
            </w:tcBorders>
          </w:tcPr>
          <w:p>
            <w:pPr>
              <w:spacing w:after="0"/>
              <w:rPr>
                <w:sz w:val="18"/>
                <w:szCs w:val="18"/>
                <w:color w:val="auto"/>
              </w:rPr>
            </w:pPr>
          </w:p>
        </w:tc>
        <w:tc>
          <w:tcPr>
            <w:tcW w:w="100" w:type="dxa"/>
            <w:vAlign w:val="bottom"/>
            <w:tcBorders>
              <w:top w:val="single" w:sz="8" w:color="E3E3E3"/>
              <w:bottom w:val="single" w:sz="8" w:color="E3E3E3"/>
            </w:tcBorders>
          </w:tcPr>
          <w:p>
            <w:pPr>
              <w:spacing w:after="0"/>
              <w:rPr>
                <w:sz w:val="18"/>
                <w:szCs w:val="18"/>
                <w:color w:val="auto"/>
              </w:rPr>
            </w:pPr>
          </w:p>
        </w:tc>
        <w:tc>
          <w:tcPr>
            <w:tcW w:w="20" w:type="dxa"/>
            <w:vAlign w:val="bottom"/>
            <w:tcBorders>
              <w:top w:val="single" w:sz="8" w:color="E3E3E3"/>
              <w:bottom w:val="single" w:sz="8" w:color="E3E3E3"/>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141,446</w:t>
            </w:r>
          </w:p>
        </w:tc>
        <w:tc>
          <w:tcPr>
            <w:tcW w:w="20" w:type="dxa"/>
            <w:vAlign w:val="bottom"/>
            <w:tcBorders>
              <w:top w:val="single" w:sz="8" w:color="E3E3E3"/>
            </w:tcBorders>
          </w:tcPr>
          <w:p>
            <w:pPr>
              <w:spacing w:after="0"/>
              <w:rPr>
                <w:sz w:val="18"/>
                <w:szCs w:val="18"/>
                <w:color w:val="auto"/>
              </w:rPr>
            </w:pPr>
          </w:p>
        </w:tc>
        <w:tc>
          <w:tcPr>
            <w:tcW w:w="80" w:type="dxa"/>
            <w:vAlign w:val="bottom"/>
            <w:tcBorders>
              <w:top w:val="single" w:sz="8" w:color="E3E3E3"/>
              <w:bottom w:val="single" w:sz="8" w:color="E3E3E3"/>
            </w:tcBorders>
          </w:tcPr>
          <w:p>
            <w:pPr>
              <w:spacing w:after="0"/>
              <w:rPr>
                <w:sz w:val="18"/>
                <w:szCs w:val="18"/>
                <w:color w:val="auto"/>
              </w:rPr>
            </w:pPr>
          </w:p>
        </w:tc>
        <w:tc>
          <w:tcPr>
            <w:tcW w:w="100" w:type="dxa"/>
            <w:vAlign w:val="bottom"/>
            <w:tcBorders>
              <w:top w:val="single" w:sz="8" w:color="E3E3E3"/>
              <w:bottom w:val="single" w:sz="8" w:color="E3E3E3"/>
            </w:tcBorders>
          </w:tcPr>
          <w:p>
            <w:pPr>
              <w:spacing w:after="0"/>
              <w:rPr>
                <w:sz w:val="18"/>
                <w:szCs w:val="18"/>
                <w:color w:val="auto"/>
              </w:rPr>
            </w:pPr>
          </w:p>
        </w:tc>
        <w:tc>
          <w:tcPr>
            <w:tcW w:w="20" w:type="dxa"/>
            <w:vAlign w:val="bottom"/>
            <w:tcBorders>
              <w:top w:val="single" w:sz="8" w:color="E3E3E3"/>
              <w:bottom w:val="single" w:sz="8" w:color="E3E3E3"/>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105,957</w:t>
            </w: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Operating loss</w:t>
            </w:r>
          </w:p>
        </w:tc>
        <w:tc>
          <w:tcPr>
            <w:tcW w:w="9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(95,390)</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(141,446)</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(105,957)</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5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Other income (loss), net</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411</w:t>
            </w:r>
          </w:p>
        </w:tc>
        <w:tc>
          <w:tcPr>
            <w:tcW w:w="20" w:type="dxa"/>
            <w:vAlign w:val="bottom"/>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907</w:t>
            </w: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Gain from change in fair value of warrant liabilities</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108,183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5950" w:type="dxa"/>
            <w:vAlign w:val="bottom"/>
            <w:tcBorders>
              <w:top w:val="single" w:sz="8" w:color="E3E3E3"/>
              <w:bottom w:val="single" w:sz="8" w:color="E3E3E3"/>
            </w:tcBorders>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auto"/>
              </w:rPr>
              <w:t>Net loss</w:t>
            </w:r>
          </w:p>
        </w:tc>
        <w:tc>
          <w:tcPr>
            <w:tcW w:w="90" w:type="dxa"/>
            <w:vAlign w:val="bottom"/>
            <w:tcBorders>
              <w:top w:val="single" w:sz="8" w:color="E3E3E3"/>
              <w:bottom w:val="single" w:sz="8" w:color="E3E3E3"/>
            </w:tcBorders>
            <w:shd w:val="clear" w:color="auto" w:fill="E3E3E3"/>
          </w:tcPr>
          <w:p>
            <w:pPr>
              <w:spacing w:after="0"/>
              <w:rPr>
                <w:sz w:val="24"/>
                <w:szCs w:val="24"/>
                <w:color w:val="auto"/>
              </w:rPr>
            </w:pPr>
          </w:p>
        </w:tc>
        <w:tc>
          <w:tcPr>
            <w:tcW w:w="20" w:type="dxa"/>
            <w:vAlign w:val="bottom"/>
            <w:tcBorders>
              <w:top w:val="single" w:sz="8" w:color="E3E3E3"/>
              <w:bottom w:val="single" w:sz="8" w:color="E3E3E3"/>
            </w:tcBorders>
            <w:shd w:val="clear" w:color="auto" w:fill="E3E3E3"/>
          </w:tcPr>
          <w:p>
            <w:pPr>
              <w:spacing w:after="0"/>
              <w:rPr>
                <w:sz w:val="24"/>
                <w:szCs w:val="24"/>
                <w:color w:val="auto"/>
              </w:rPr>
            </w:pPr>
          </w:p>
        </w:tc>
        <w:tc>
          <w:tcPr>
            <w:tcW w:w="100" w:type="dxa"/>
            <w:vAlign w:val="bottom"/>
            <w:tcBorders>
              <w:top w:val="single" w:sz="8" w:color="auto"/>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(90,973)</w:t>
            </w: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20" w:type="dxa"/>
            <w:vAlign w:val="bottom"/>
            <w:tcBorders>
              <w:top w:val="single" w:sz="8" w:color="E3E3E3"/>
              <w:bottom w:val="single" w:sz="8" w:color="E3E3E3"/>
            </w:tcBorders>
            <w:shd w:val="clear" w:color="auto" w:fill="E3E3E3"/>
          </w:tcPr>
          <w:p>
            <w:pPr>
              <w:spacing w:after="0"/>
              <w:rPr>
                <w:sz w:val="24"/>
                <w:szCs w:val="24"/>
                <w:color w:val="auto"/>
              </w:rPr>
            </w:pPr>
          </w:p>
        </w:tc>
        <w:tc>
          <w:tcPr>
            <w:tcW w:w="100" w:type="dxa"/>
            <w:vAlign w:val="bottom"/>
            <w:tcBorders>
              <w:top w:val="single" w:sz="8" w:color="auto"/>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(24,342)</w:t>
            </w:r>
          </w:p>
        </w:tc>
        <w:tc>
          <w:tcPr>
            <w:tcW w:w="20" w:type="dxa"/>
            <w:vAlign w:val="bottom"/>
            <w:tcBorders>
              <w:bottom w:val="single" w:sz="8" w:color="E3E3E3"/>
            </w:tcBorders>
          </w:tcPr>
          <w:p>
            <w:pPr>
              <w:spacing w:after="0"/>
              <w:rPr>
                <w:sz w:val="24"/>
                <w:szCs w:val="24"/>
                <w:color w:val="auto"/>
              </w:rPr>
            </w:pPr>
          </w:p>
        </w:tc>
        <w:tc>
          <w:tcPr>
            <w:tcW w:w="80" w:type="dxa"/>
            <w:vAlign w:val="bottom"/>
            <w:tcBorders>
              <w:top w:val="single" w:sz="8" w:color="E3E3E3"/>
              <w:bottom w:val="single" w:sz="8" w:color="E3E3E3"/>
            </w:tcBorders>
            <w:shd w:val="clear" w:color="auto" w:fill="E3E3E3"/>
          </w:tcPr>
          <w:p>
            <w:pPr>
              <w:spacing w:after="0"/>
              <w:rPr>
                <w:sz w:val="24"/>
                <w:szCs w:val="24"/>
                <w:color w:val="auto"/>
              </w:rPr>
            </w:pP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20" w:type="dxa"/>
            <w:vAlign w:val="bottom"/>
            <w:tcBorders>
              <w:top w:val="single" w:sz="8" w:color="E3E3E3"/>
              <w:bottom w:val="single" w:sz="8" w:color="E3E3E3"/>
            </w:tcBorders>
            <w:shd w:val="clear" w:color="auto" w:fill="E3E3E3"/>
          </w:tcPr>
          <w:p>
            <w:pPr>
              <w:spacing w:after="0"/>
              <w:rPr>
                <w:sz w:val="24"/>
                <w:szCs w:val="24"/>
                <w:color w:val="auto"/>
              </w:rPr>
            </w:pPr>
          </w:p>
        </w:tc>
        <w:tc>
          <w:tcPr>
            <w:tcW w:w="100" w:type="dxa"/>
            <w:vAlign w:val="bottom"/>
            <w:tcBorders>
              <w:top w:val="single" w:sz="8" w:color="auto"/>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60" w:type="dxa"/>
            <w:vAlign w:val="bottom"/>
            <w:tcBorders>
              <w:top w:val="single" w:sz="8" w:color="auto"/>
              <w:bottom w:val="single" w:sz="8" w:color="E3E3E3"/>
            </w:tcBorders>
            <w:shd w:val="clear" w:color="auto" w:fill="E3E3E3"/>
          </w:tcPr>
          <w:p>
            <w:pPr>
              <w:spacing w:after="0"/>
              <w:rPr>
                <w:sz w:val="24"/>
                <w:szCs w:val="24"/>
                <w:color w:val="auto"/>
              </w:rPr>
            </w:pPr>
          </w:p>
        </w:tc>
        <w:tc>
          <w:tcPr>
            <w:tcW w:w="1040" w:type="dxa"/>
            <w:vAlign w:val="bottom"/>
            <w:tcBorders>
              <w:top w:val="single" w:sz="8" w:color="auto"/>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(97,217)</w:t>
            </w: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20" w:type="dxa"/>
            <w:vAlign w:val="bottom"/>
            <w:tcBorders>
              <w:top w:val="single" w:sz="8" w:color="E3E3E3"/>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950" w:type="dxa"/>
            <w:vAlign w:val="bottom"/>
            <w:tcBorders>
              <w:top w:val="single" w:sz="8" w:color="E3E3E3"/>
            </w:tcBorders>
          </w:tcPr>
          <w:p>
            <w:pPr>
              <w:spacing w:after="0"/>
              <w:rPr>
                <w:sz w:val="19"/>
                <w:szCs w:val="19"/>
                <w:color w:val="auto"/>
              </w:rPr>
            </w:pPr>
          </w:p>
        </w:tc>
        <w:tc>
          <w:tcPr>
            <w:tcW w:w="9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Shares used in computing net loss per share, basic</w:t>
            </w:r>
          </w:p>
        </w:tc>
        <w:tc>
          <w:tcPr>
            <w:tcW w:w="9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48,297</w:t>
            </w: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46,329</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41,932</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5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basic</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(0.53)</w:t>
            </w:r>
          </w:p>
        </w:tc>
        <w:tc>
          <w:tcPr>
            <w:tcW w:w="20" w:type="dxa"/>
            <w:vAlign w:val="bottom"/>
          </w:tcPr>
          <w:p>
            <w:pPr>
              <w:spacing w:after="0"/>
              <w:rPr>
                <w:sz w:val="20"/>
                <w:szCs w:val="20"/>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5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Numerator, diluted:</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60" w:type="dxa"/>
            <w:vAlign w:val="bottom"/>
            <w:tcBorders>
              <w:bottom w:val="single" w:sz="8" w:color="E3E3E3"/>
            </w:tcBorders>
            <w:gridSpan w:val="3"/>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E3E3E3"/>
            </w:tcBorders>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(90,973)</w:t>
            </w:r>
          </w:p>
        </w:tc>
        <w:tc>
          <w:tcPr>
            <w:tcW w:w="220" w:type="dxa"/>
            <w:vAlign w:val="bottom"/>
            <w:tcBorders>
              <w:bottom w:val="single" w:sz="8" w:color="E3E3E3"/>
            </w:tcBorders>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(24,342)</w:t>
            </w:r>
          </w:p>
        </w:tc>
        <w:tc>
          <w:tcPr>
            <w:tcW w:w="20" w:type="dxa"/>
            <w:vAlign w:val="bottom"/>
            <w:tcBorders>
              <w:bottom w:val="single" w:sz="8" w:color="E3E3E3"/>
            </w:tcBorders>
          </w:tcPr>
          <w:p>
            <w:pPr>
              <w:spacing w:after="0"/>
              <w:rPr>
                <w:sz w:val="19"/>
                <w:szCs w:val="19"/>
                <w:color w:val="auto"/>
              </w:rPr>
            </w:pPr>
          </w:p>
        </w:tc>
        <w:tc>
          <w:tcPr>
            <w:tcW w:w="300" w:type="dxa"/>
            <w:vAlign w:val="bottom"/>
            <w:tcBorders>
              <w:bottom w:val="single" w:sz="8" w:color="E3E3E3"/>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tcPr>
          <w:p>
            <w:pPr>
              <w:spacing w:after="0"/>
              <w:rPr>
                <w:sz w:val="19"/>
                <w:szCs w:val="19"/>
                <w:color w:val="auto"/>
              </w:rPr>
            </w:pPr>
          </w:p>
        </w:tc>
        <w:tc>
          <w:tcPr>
            <w:tcW w:w="1140" w:type="dxa"/>
            <w:vAlign w:val="bottom"/>
            <w:tcBorders>
              <w:bottom w:val="single" w:sz="8" w:color="E3E3E3"/>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(97,217)</w:t>
            </w:r>
          </w:p>
        </w:tc>
        <w:tc>
          <w:tcPr>
            <w:tcW w:w="2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50" w:type="dxa"/>
            <w:vAlign w:val="bottom"/>
            <w:tcBorders>
              <w:bottom w:val="single" w:sz="8" w:color="E3E3E3"/>
            </w:tcBorders>
            <w:shd w:val="clear" w:color="auto" w:fill="E3E3E3"/>
          </w:tcPr>
          <w:p>
            <w:pPr>
              <w:spacing w:after="0" w:line="213" w:lineRule="exact"/>
              <w:rPr>
                <w:sz w:val="20"/>
                <w:szCs w:val="20"/>
                <w:color w:val="auto"/>
              </w:rPr>
            </w:pPr>
            <w:r>
              <w:rPr>
                <w:rFonts w:ascii="Times New Roman" w:cs="Times New Roman" w:eastAsia="Times New Roman" w:hAnsi="Times New Roman"/>
                <w:sz w:val="20"/>
                <w:szCs w:val="20"/>
                <w:color w:val="auto"/>
              </w:rPr>
              <w:t>Adjustment for change in fair value of warrant liabilities</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(43,793)</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260" w:type="dxa"/>
            <w:vAlign w:val="bottom"/>
            <w:tcBorders>
              <w:bottom w:val="single" w:sz="8" w:color="auto"/>
            </w:tcBorders>
            <w:shd w:val="clear" w:color="auto" w:fill="E3E3E3"/>
          </w:tcPr>
          <w:p>
            <w:pPr>
              <w:spacing w:after="0"/>
              <w:rPr>
                <w:sz w:val="20"/>
                <w:szCs w:val="20"/>
                <w:color w:val="auto"/>
              </w:rPr>
            </w:pPr>
          </w:p>
        </w:tc>
        <w:tc>
          <w:tcPr>
            <w:tcW w:w="104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950" w:type="dxa"/>
            <w:vAlign w:val="bottom"/>
            <w:tcBorders>
              <w:bottom w:val="single" w:sz="8" w:color="E3E3E3"/>
            </w:tcBorders>
          </w:tcPr>
          <w:p>
            <w:pPr>
              <w:spacing w:after="0" w:line="215" w:lineRule="exact"/>
              <w:rPr>
                <w:sz w:val="20"/>
                <w:szCs w:val="20"/>
                <w:color w:val="auto"/>
              </w:rPr>
            </w:pPr>
            <w:r>
              <w:rPr>
                <w:rFonts w:ascii="Times New Roman" w:cs="Times New Roman" w:eastAsia="Times New Roman" w:hAnsi="Times New Roman"/>
                <w:sz w:val="20"/>
                <w:szCs w:val="20"/>
                <w:color w:val="auto"/>
              </w:rPr>
              <w:t>Adjusted numerator, diluted</w:t>
            </w:r>
          </w:p>
        </w:tc>
        <w:tc>
          <w:tcPr>
            <w:tcW w:w="9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(90,973)</w:t>
            </w:r>
          </w:p>
        </w:tc>
        <w:tc>
          <w:tcPr>
            <w:tcW w:w="10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(68,135)</w:t>
            </w:r>
          </w:p>
        </w:tc>
        <w:tc>
          <w:tcPr>
            <w:tcW w:w="20" w:type="dxa"/>
            <w:vAlign w:val="bottom"/>
            <w:tcBorders>
              <w:bottom w:val="single" w:sz="8" w:color="E3E3E3"/>
            </w:tcBorders>
          </w:tcPr>
          <w:p>
            <w:pPr>
              <w:spacing w:after="0"/>
              <w:rPr>
                <w:sz w:val="18"/>
                <w:szCs w:val="18"/>
                <w:color w:val="auto"/>
              </w:rPr>
            </w:pPr>
          </w:p>
        </w:tc>
        <w:tc>
          <w:tcPr>
            <w:tcW w:w="8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60" w:type="dxa"/>
            <w:vAlign w:val="bottom"/>
            <w:tcBorders>
              <w:bottom w:val="single" w:sz="8" w:color="E3E3E3"/>
            </w:tcBorders>
          </w:tcPr>
          <w:p>
            <w:pPr>
              <w:spacing w:after="0"/>
              <w:rPr>
                <w:sz w:val="18"/>
                <w:szCs w:val="18"/>
                <w:color w:val="auto"/>
              </w:rPr>
            </w:pPr>
          </w:p>
        </w:tc>
        <w:tc>
          <w:tcPr>
            <w:tcW w:w="104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(97,217)</w:t>
            </w:r>
          </w:p>
        </w:tc>
        <w:tc>
          <w:tcPr>
            <w:tcW w:w="1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595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Shares used in computing net loss per share, diluted</w:t>
            </w:r>
          </w:p>
        </w:tc>
        <w:tc>
          <w:tcPr>
            <w:tcW w:w="9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48,297</w:t>
            </w:r>
          </w:p>
        </w:tc>
        <w:tc>
          <w:tcPr>
            <w:tcW w:w="10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46,604</w:t>
            </w:r>
          </w:p>
        </w:tc>
        <w:tc>
          <w:tcPr>
            <w:tcW w:w="20" w:type="dxa"/>
            <w:vAlign w:val="bottom"/>
            <w:tcBorders>
              <w:bottom w:val="single" w:sz="8" w:color="E3E3E3"/>
            </w:tcBorders>
          </w:tcPr>
          <w:p>
            <w:pPr>
              <w:spacing w:after="0"/>
              <w:rPr>
                <w:sz w:val="24"/>
                <w:szCs w:val="24"/>
                <w:color w:val="auto"/>
              </w:rPr>
            </w:pPr>
          </w:p>
        </w:tc>
        <w:tc>
          <w:tcPr>
            <w:tcW w:w="8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260" w:type="dxa"/>
            <w:vAlign w:val="bottom"/>
            <w:tcBorders>
              <w:bottom w:val="single" w:sz="8" w:color="E3E3E3"/>
            </w:tcBorders>
            <w:shd w:val="clear" w:color="auto" w:fill="E3E3E3"/>
          </w:tcPr>
          <w:p>
            <w:pPr>
              <w:spacing w:after="0"/>
              <w:rPr>
                <w:sz w:val="24"/>
                <w:szCs w:val="24"/>
                <w:color w:val="auto"/>
              </w:rPr>
            </w:pPr>
          </w:p>
        </w:tc>
        <w:tc>
          <w:tcPr>
            <w:tcW w:w="10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41,932</w:t>
            </w:r>
          </w:p>
        </w:tc>
        <w:tc>
          <w:tcPr>
            <w:tcW w:w="100" w:type="dxa"/>
            <w:vAlign w:val="bottom"/>
            <w:tcBorders>
              <w:bottom w:val="single" w:sz="8" w:color="E3E3E3"/>
            </w:tcBorders>
            <w:shd w:val="clear" w:color="auto" w:fill="E3E3E3"/>
          </w:tcPr>
          <w:p>
            <w:pPr>
              <w:spacing w:after="0"/>
              <w:rPr>
                <w:sz w:val="24"/>
                <w:szCs w:val="24"/>
                <w:color w:val="auto"/>
              </w:rPr>
            </w:pPr>
          </w:p>
        </w:tc>
        <w:tc>
          <w:tcPr>
            <w:tcW w:w="20" w:type="dxa"/>
            <w:vAlign w:val="bottom"/>
            <w:tcBorders>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950" w:type="dxa"/>
            <w:vAlign w:val="bottom"/>
            <w:vMerge w:val="restart"/>
          </w:tcPr>
          <w:p>
            <w:pPr>
              <w:spacing w:after="0" w:line="221" w:lineRule="exact"/>
              <w:rPr>
                <w:sz w:val="20"/>
                <w:szCs w:val="20"/>
                <w:color w:val="auto"/>
              </w:rPr>
            </w:pPr>
            <w:r>
              <w:rPr>
                <w:rFonts w:ascii="Times New Roman" w:cs="Times New Roman" w:eastAsia="Times New Roman" w:hAnsi="Times New Roman"/>
                <w:sz w:val="20"/>
                <w:szCs w:val="20"/>
                <w:color w:val="auto"/>
              </w:rPr>
              <w:t>Net loss per share, diluted</w:t>
            </w:r>
          </w:p>
        </w:tc>
        <w:tc>
          <w:tcPr>
            <w:tcW w:w="9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vMerge w:val="restart"/>
          </w:tcPr>
          <w:p>
            <w:pPr>
              <w:jc w:val="right"/>
              <w:spacing w:after="0" w:line="221" w:lineRule="exact"/>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vMerge w:val="restart"/>
          </w:tcPr>
          <w:p>
            <w:pPr>
              <w:jc w:val="right"/>
              <w:spacing w:after="0" w:line="221" w:lineRule="exact"/>
              <w:rPr>
                <w:sz w:val="20"/>
                <w:szCs w:val="20"/>
                <w:color w:val="auto"/>
              </w:rPr>
            </w:pPr>
            <w:r>
              <w:rPr>
                <w:rFonts w:ascii="Times New Roman" w:cs="Times New Roman" w:eastAsia="Times New Roman" w:hAnsi="Times New Roman"/>
                <w:sz w:val="20"/>
                <w:szCs w:val="20"/>
                <w:color w:val="auto"/>
              </w:rPr>
              <w:t>(1.46)</w:t>
            </w:r>
          </w:p>
        </w:tc>
        <w:tc>
          <w:tcPr>
            <w:tcW w:w="20" w:type="dxa"/>
            <w:vAlign w:val="bottom"/>
            <w:tcBorders>
              <w:top w:val="single" w:sz="8" w:color="E3E3E3"/>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vMerge w:val="restart"/>
          </w:tcPr>
          <w:p>
            <w:pPr>
              <w:jc w:val="right"/>
              <w:spacing w:after="0" w:line="221" w:lineRule="exact"/>
              <w:rPr>
                <w:sz w:val="20"/>
                <w:szCs w:val="20"/>
                <w:color w:val="auto"/>
              </w:rPr>
            </w:pPr>
            <w:r>
              <w:rPr>
                <w:rFonts w:ascii="Times New Roman" w:cs="Times New Roman" w:eastAsia="Times New Roman" w:hAnsi="Times New Roman"/>
                <w:sz w:val="20"/>
                <w:szCs w:val="20"/>
                <w:color w:val="auto"/>
              </w:rPr>
              <w:t>(2.32)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50" w:type="dxa"/>
            <w:vAlign w:val="bottom"/>
            <w:vMerge w:val="continue"/>
          </w:tcPr>
          <w:p>
            <w:pPr>
              <w:spacing w:after="0"/>
              <w:rPr>
                <w:sz w:val="17"/>
                <w:szCs w:val="17"/>
                <w:color w:val="auto"/>
              </w:rPr>
            </w:pPr>
          </w:p>
        </w:tc>
        <w:tc>
          <w:tcPr>
            <w:tcW w:w="9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4735830</wp:posOffset>
                </wp:positionH>
                <wp:positionV relativeFrom="paragraph">
                  <wp:posOffset>-2425065</wp:posOffset>
                </wp:positionV>
                <wp:extent cx="13525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pt,-190.9499pt" to="383.55pt,-190.9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-2425065</wp:posOffset>
                </wp:positionV>
                <wp:extent cx="13716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190.9499pt" to="464.6pt,-190.9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-2269490</wp:posOffset>
                </wp:positionV>
                <wp:extent cx="685927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192">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78.6999pt" to="540.3pt,-178.6999pt" o:allowincell="f" strokecolor="#FFFFFF" strokeweight="0.96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-1466850</wp:posOffset>
                </wp:positionV>
                <wp:extent cx="383984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5.4999pt" to="302.55pt,-115.4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-1148715</wp:posOffset>
                </wp:positionV>
                <wp:extent cx="109855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90.4499pt" to="540.3pt,-90.4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-534670</wp:posOffset>
                </wp:positionV>
                <wp:extent cx="383984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42.0999pt" to="302.55pt,-42.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4735830</wp:posOffset>
                </wp:positionH>
                <wp:positionV relativeFrom="paragraph">
                  <wp:posOffset>-534670</wp:posOffset>
                </wp:positionV>
                <wp:extent cx="13525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pt,-42.0999pt" to="383.55pt,-42.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-534670</wp:posOffset>
                </wp:positionV>
                <wp:extent cx="13716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42.0999pt" to="464.6pt,-42.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-534670</wp:posOffset>
                </wp:positionV>
                <wp:extent cx="6858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42.0999pt" to="540.3pt,-42.0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-382270</wp:posOffset>
                </wp:positionV>
                <wp:extent cx="109855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30.0999pt" to="540.3pt,-30.09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3842385</wp:posOffset>
                </wp:positionH>
                <wp:positionV relativeFrom="paragraph">
                  <wp:posOffset>-189230</wp:posOffset>
                </wp:positionV>
                <wp:extent cx="89344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344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55pt,-14.8999pt" to="372.9pt,-14.8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4871085</wp:posOffset>
                </wp:positionH>
                <wp:positionV relativeFrom="paragraph">
                  <wp:posOffset>-189230</wp:posOffset>
                </wp:positionV>
                <wp:extent cx="8921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175"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5pt,-14.8999pt" to="453.8pt,-14.8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5900420</wp:posOffset>
                </wp:positionH>
                <wp:positionV relativeFrom="paragraph">
                  <wp:posOffset>-189230</wp:posOffset>
                </wp:positionV>
                <wp:extent cx="89281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81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4.6pt,-14.8999pt" to="534.9pt,-14.8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-26670</wp:posOffset>
                </wp:positionV>
                <wp:extent cx="685927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999pt" to="540.3pt,-2.0999pt" o:allowincell="f" strokecolor="#FFFFFF" strokeweight="2.52pt"/>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86 / 117</w:t>
      </w:r>
    </w:p>
    <w:p>
      <w:pPr>
        <w:sectPr>
          <w:pgSz w:w="12240" w:h="15840" w:orient="portrait"/>
          <w:cols w:equalWidth="0" w:num="1">
            <w:col w:w="10800"/>
          </w:cols>
          <w:pgMar w:left="720" w:top="1060" w:right="720" w:bottom="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FILANA THERAPEUTICS,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0"/>
        </w:trPr>
        <w:tc>
          <w:tcPr>
            <w:tcW w:w="4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40" w:type="dxa"/>
            <w:vAlign w:val="bottom"/>
            <w:gridSpan w:val="6"/>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Additional</w:t>
            </w:r>
          </w:p>
        </w:tc>
        <w:tc>
          <w:tcPr>
            <w:tcW w:w="134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2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stockholders'</w:t>
            </w:r>
          </w:p>
        </w:tc>
      </w:tr>
      <w:tr>
        <w:trPr>
          <w:trHeight w:val="203"/>
        </w:trPr>
        <w:tc>
          <w:tcPr>
            <w:tcW w:w="4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4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Par value</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4"/>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100" w:type="dxa"/>
            <w:vAlign w:val="bottom"/>
          </w:tcPr>
          <w:p>
            <w:pPr>
              <w:spacing w:after="0"/>
              <w:rPr>
                <w:sz w:val="22"/>
                <w:szCs w:val="22"/>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120" w:type="dxa"/>
            <w:vAlign w:val="bottom"/>
          </w:tcPr>
          <w:p>
            <w:pPr>
              <w:spacing w:after="0"/>
              <w:rPr>
                <w:sz w:val="22"/>
                <w:szCs w:val="22"/>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equity</w:t>
            </w:r>
          </w:p>
        </w:tc>
      </w:tr>
      <w:tr>
        <w:trPr>
          <w:trHeight w:val="226"/>
        </w:trPr>
        <w:tc>
          <w:tcPr>
            <w:tcW w:w="4320" w:type="dxa"/>
            <w:vAlign w:val="bottom"/>
            <w:tcBorders>
              <w:top w:val="single" w:sz="8" w:color="E3E3E3"/>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Balance at December 31, 2022</w:t>
            </w: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E3E3E3"/>
            </w:tcBorders>
            <w:shd w:val="clear" w:color="auto" w:fill="E3E3E3"/>
          </w:tcPr>
          <w:p>
            <w:pPr>
              <w:spacing w:after="0"/>
              <w:rPr>
                <w:sz w:val="19"/>
                <w:szCs w:val="19"/>
                <w:color w:val="auto"/>
              </w:rPr>
            </w:pPr>
          </w:p>
        </w:tc>
        <w:tc>
          <w:tcPr>
            <w:tcW w:w="96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shd w:val="clear" w:color="auto" w:fill="E3E3E3"/>
              </w:rPr>
              <w:t>41,735,557</w:t>
            </w: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E3E3E3"/>
            </w:tcBorders>
            <w:shd w:val="clear" w:color="auto" w:fill="E3E3E3"/>
          </w:tcPr>
          <w:p>
            <w:pPr>
              <w:spacing w:after="0"/>
              <w:rPr>
                <w:sz w:val="19"/>
                <w:szCs w:val="19"/>
                <w:color w:val="auto"/>
              </w:rPr>
            </w:pPr>
          </w:p>
        </w:tc>
        <w:tc>
          <w:tcPr>
            <w:tcW w:w="98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42</w:t>
            </w: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6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c>
          <w:tcPr>
            <w:tcW w:w="120" w:type="dxa"/>
            <w:vAlign w:val="bottom"/>
            <w:tcBorders>
              <w:top w:val="single" w:sz="8" w:color="auto"/>
              <w:bottom w:val="single" w:sz="8" w:color="E3E3E3"/>
            </w:tcBorders>
            <w:shd w:val="clear" w:color="auto" w:fill="E3E3E3"/>
          </w:tcPr>
          <w:p>
            <w:pPr>
              <w:spacing w:after="0"/>
              <w:rPr>
                <w:sz w:val="19"/>
                <w:szCs w:val="19"/>
                <w:color w:val="auto"/>
              </w:rPr>
            </w:pPr>
          </w:p>
        </w:tc>
        <w:tc>
          <w:tcPr>
            <w:tcW w:w="96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511,049</w:t>
            </w: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E3E3E3"/>
            </w:tcBorders>
            <w:shd w:val="clear" w:color="auto" w:fill="E3E3E3"/>
          </w:tcPr>
          <w:p>
            <w:pPr>
              <w:spacing w:after="0"/>
              <w:rPr>
                <w:sz w:val="19"/>
                <w:szCs w:val="19"/>
                <w:color w:val="auto"/>
              </w:rPr>
            </w:pPr>
          </w:p>
        </w:tc>
        <w:tc>
          <w:tcPr>
            <w:tcW w:w="104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(283,552)</w:t>
            </w:r>
          </w:p>
        </w:tc>
        <w:tc>
          <w:tcPr>
            <w:tcW w:w="20" w:type="dxa"/>
            <w:vAlign w:val="bottom"/>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E3E3E3"/>
              <w:right w:val="single" w:sz="8" w:color="E3E3E3"/>
            </w:tcBorders>
          </w:tcPr>
          <w:p>
            <w:pPr>
              <w:spacing w:after="0"/>
              <w:rPr>
                <w:sz w:val="19"/>
                <w:szCs w:val="19"/>
                <w:color w:val="auto"/>
              </w:rPr>
            </w:pPr>
          </w:p>
        </w:tc>
        <w:tc>
          <w:tcPr>
            <w:tcW w:w="120" w:type="dxa"/>
            <w:vAlign w:val="bottom"/>
            <w:tcBorders>
              <w:top w:val="single" w:sz="8" w:color="auto"/>
              <w:bottom w:val="single" w:sz="8" w:color="E3E3E3"/>
            </w:tcBorders>
            <w:shd w:val="clear" w:color="auto" w:fill="E3E3E3"/>
          </w:tcPr>
          <w:p>
            <w:pPr>
              <w:spacing w:after="0"/>
              <w:rPr>
                <w:sz w:val="19"/>
                <w:szCs w:val="19"/>
                <w:color w:val="auto"/>
              </w:rPr>
            </w:pPr>
          </w:p>
        </w:tc>
        <w:tc>
          <w:tcPr>
            <w:tcW w:w="102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227,539</w:t>
            </w: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r>
      <w:tr>
        <w:trPr>
          <w:trHeight w:val="226"/>
        </w:trPr>
        <w:tc>
          <w:tcPr>
            <w:tcW w:w="4420" w:type="dxa"/>
            <w:vAlign w:val="bottom"/>
            <w:tcBorders>
              <w:bottom w:val="single" w:sz="8" w:color="E3E3E3"/>
            </w:tcBorders>
            <w:gridSpan w:val="3"/>
          </w:tcPr>
          <w:p>
            <w:pPr>
              <w:ind w:left="180"/>
              <w:spacing w:after="0" w:line="226" w:lineRule="exact"/>
              <w:rPr>
                <w:sz w:val="20"/>
                <w:szCs w:val="20"/>
                <w:color w:val="auto"/>
              </w:rPr>
            </w:pPr>
            <w:r>
              <w:rPr>
                <w:rFonts w:ascii="Times New Roman" w:cs="Times New Roman" w:eastAsia="Times New Roman" w:hAnsi="Times New Roman"/>
                <w:sz w:val="20"/>
                <w:szCs w:val="20"/>
                <w:color w:val="auto"/>
              </w:rPr>
              <w:t>Stock-based compensation for:</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04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r>
      <w:tr>
        <w:trPr>
          <w:trHeight w:val="214"/>
        </w:trPr>
        <w:tc>
          <w:tcPr>
            <w:tcW w:w="4320" w:type="dxa"/>
            <w:vAlign w:val="bottom"/>
            <w:tcBorders>
              <w:bottom w:val="single" w:sz="8" w:color="E3E3E3"/>
            </w:tcBorders>
            <w:shd w:val="clear" w:color="auto" w:fill="E3E3E3"/>
          </w:tcPr>
          <w:p>
            <w:pPr>
              <w:ind w:left="360"/>
              <w:spacing w:after="0" w:line="213" w:lineRule="exact"/>
              <w:rPr>
                <w:sz w:val="20"/>
                <w:szCs w:val="20"/>
                <w:color w:val="auto"/>
              </w:rPr>
            </w:pPr>
            <w:r>
              <w:rPr>
                <w:rFonts w:ascii="Times New Roman" w:cs="Times New Roman" w:eastAsia="Times New Roman" w:hAnsi="Times New Roman"/>
                <w:sz w:val="20"/>
                <w:szCs w:val="20"/>
                <w:color w:val="auto"/>
              </w:rPr>
              <w:t>Stock options for employees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8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18"/>
                <w:szCs w:val="18"/>
                <w:color w:val="auto"/>
              </w:rPr>
            </w:pPr>
          </w:p>
        </w:tc>
        <w:tc>
          <w:tcPr>
            <w:tcW w:w="6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4,493</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04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right w:val="single" w:sz="8" w:color="E3E3E3"/>
            </w:tcBorders>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102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4,493</w:t>
            </w:r>
          </w:p>
        </w:tc>
        <w:tc>
          <w:tcPr>
            <w:tcW w:w="100" w:type="dxa"/>
            <w:vAlign w:val="bottom"/>
            <w:tcBorders>
              <w:bottom w:val="single" w:sz="8" w:color="E3E3E3"/>
            </w:tcBorders>
            <w:shd w:val="clear" w:color="auto" w:fill="E3E3E3"/>
          </w:tcPr>
          <w:p>
            <w:pPr>
              <w:spacing w:after="0"/>
              <w:rPr>
                <w:sz w:val="18"/>
                <w:szCs w:val="18"/>
                <w:color w:val="auto"/>
              </w:rPr>
            </w:pPr>
          </w:p>
        </w:tc>
      </w:tr>
      <w:tr>
        <w:trPr>
          <w:trHeight w:val="226"/>
        </w:trPr>
        <w:tc>
          <w:tcPr>
            <w:tcW w:w="4420" w:type="dxa"/>
            <w:vAlign w:val="bottom"/>
            <w:tcBorders>
              <w:bottom w:val="single" w:sz="8" w:color="E3E3E3"/>
            </w:tcBorders>
            <w:gridSpan w:val="3"/>
          </w:tcPr>
          <w:p>
            <w:pPr>
              <w:ind w:left="360"/>
              <w:spacing w:after="0" w:line="226" w:lineRule="exact"/>
              <w:rPr>
                <w:sz w:val="20"/>
                <w:szCs w:val="20"/>
                <w:color w:val="auto"/>
              </w:rPr>
            </w:pPr>
            <w:r>
              <w:rPr>
                <w:rFonts w:ascii="Times New Roman" w:cs="Times New Roman" w:eastAsia="Times New Roman" w:hAnsi="Times New Roman"/>
                <w:sz w:val="20"/>
                <w:szCs w:val="20"/>
                <w:color w:val="auto"/>
              </w:rPr>
              <w:t>Stock options for non-employees</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80" w:type="dxa"/>
            <w:vAlign w:val="bottom"/>
            <w:tcBorders>
              <w:bottom w:val="single" w:sz="8" w:color="E3E3E3"/>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93</w:t>
            </w: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040" w:type="dxa"/>
            <w:vAlign w:val="bottom"/>
            <w:tcBorders>
              <w:bottom w:val="single" w:sz="8" w:color="E3E3E3"/>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20" w:type="dxa"/>
            <w:vAlign w:val="bottom"/>
            <w:tcBorders>
              <w:bottom w:val="single" w:sz="8" w:color="E3E3E3"/>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93</w:t>
            </w:r>
          </w:p>
        </w:tc>
        <w:tc>
          <w:tcPr>
            <w:tcW w:w="100" w:type="dxa"/>
            <w:vAlign w:val="bottom"/>
            <w:tcBorders>
              <w:bottom w:val="single" w:sz="8" w:color="E3E3E3"/>
            </w:tcBorders>
          </w:tcPr>
          <w:p>
            <w:pPr>
              <w:spacing w:after="0"/>
              <w:rPr>
                <w:sz w:val="19"/>
                <w:szCs w:val="19"/>
                <w:color w:val="auto"/>
              </w:rPr>
            </w:pPr>
          </w:p>
        </w:tc>
      </w:tr>
      <w:tr>
        <w:trPr>
          <w:trHeight w:val="213"/>
        </w:trPr>
        <w:tc>
          <w:tcPr>
            <w:tcW w:w="4320" w:type="dxa"/>
            <w:vAlign w:val="bottom"/>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Issuance of common stock pursuant to exercise of</w:t>
            </w:r>
          </w:p>
        </w:tc>
        <w:tc>
          <w:tcPr>
            <w:tcW w:w="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9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9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040" w:type="dxa"/>
            <w:vAlign w:val="bottom"/>
            <w:shd w:val="clear" w:color="auto" w:fill="E3E3E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00" w:type="dxa"/>
            <w:vAlign w:val="bottom"/>
            <w:tcBorders>
              <w:right w:val="single" w:sz="8" w:color="E3E3E3"/>
            </w:tcBorders>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30"/>
        </w:trPr>
        <w:tc>
          <w:tcPr>
            <w:tcW w:w="432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stock options</w:t>
            </w: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9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501,362</w:t>
            </w:r>
          </w:p>
        </w:tc>
        <w:tc>
          <w:tcPr>
            <w:tcW w:w="10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9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20"/>
                <w:szCs w:val="20"/>
                <w:color w:val="auto"/>
              </w:rPr>
            </w:pPr>
          </w:p>
        </w:tc>
        <w:tc>
          <w:tcPr>
            <w:tcW w:w="6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9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2,560</w:t>
            </w:r>
          </w:p>
        </w:tc>
        <w:tc>
          <w:tcPr>
            <w:tcW w:w="10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right w:val="single" w:sz="8" w:color="E3E3E3"/>
            </w:tcBorders>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0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2,560</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30"/>
        </w:trPr>
        <w:tc>
          <w:tcPr>
            <w:tcW w:w="44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(97,217)</w:t>
            </w:r>
          </w:p>
        </w:tc>
      </w:tr>
      <w:tr>
        <w:trPr>
          <w:trHeight w:val="225"/>
        </w:trPr>
        <w:tc>
          <w:tcPr>
            <w:tcW w:w="4320" w:type="dxa"/>
            <w:vAlign w:val="bottom"/>
            <w:tcBorders>
              <w:top w:val="single" w:sz="8" w:color="E3E3E3"/>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Balance at December 31, 2023</w:t>
            </w: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E3E3E3"/>
            </w:tcBorders>
            <w:shd w:val="clear" w:color="auto" w:fill="E3E3E3"/>
          </w:tcPr>
          <w:p>
            <w:pPr>
              <w:spacing w:after="0"/>
              <w:rPr>
                <w:sz w:val="19"/>
                <w:szCs w:val="19"/>
                <w:color w:val="auto"/>
              </w:rPr>
            </w:pPr>
          </w:p>
        </w:tc>
        <w:tc>
          <w:tcPr>
            <w:tcW w:w="96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shd w:val="clear" w:color="auto" w:fill="E3E3E3"/>
              </w:rPr>
              <w:t>42,236,919</w:t>
            </w: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8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42</w:t>
            </w: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6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c>
          <w:tcPr>
            <w:tcW w:w="12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E3E3E3"/>
              </w:rPr>
              <w:t>$</w:t>
            </w:r>
          </w:p>
        </w:tc>
        <w:tc>
          <w:tcPr>
            <w:tcW w:w="96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518,195</w:t>
            </w: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2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auto"/>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(380,769)</w:t>
            </w:r>
          </w:p>
        </w:tc>
        <w:tc>
          <w:tcPr>
            <w:tcW w:w="20" w:type="dxa"/>
            <w:vAlign w:val="bottom"/>
          </w:tcPr>
          <w:p>
            <w:pPr>
              <w:spacing w:after="0"/>
              <w:rPr>
                <w:sz w:val="19"/>
                <w:szCs w:val="19"/>
                <w:color w:val="auto"/>
              </w:rPr>
            </w:pPr>
          </w:p>
        </w:tc>
        <w:tc>
          <w:tcPr>
            <w:tcW w:w="80" w:type="dxa"/>
            <w:vAlign w:val="bottom"/>
            <w:tcBorders>
              <w:top w:val="single" w:sz="8" w:color="E3E3E3"/>
              <w:bottom w:val="single" w:sz="8" w:color="E3E3E3"/>
            </w:tcBorders>
            <w:shd w:val="clear" w:color="auto" w:fill="E3E3E3"/>
          </w:tcPr>
          <w:p>
            <w:pPr>
              <w:spacing w:after="0"/>
              <w:rPr>
                <w:sz w:val="19"/>
                <w:szCs w:val="19"/>
                <w:color w:val="auto"/>
              </w:rPr>
            </w:pPr>
          </w:p>
        </w:tc>
        <w:tc>
          <w:tcPr>
            <w:tcW w:w="100" w:type="dxa"/>
            <w:vAlign w:val="bottom"/>
            <w:tcBorders>
              <w:top w:val="single" w:sz="8" w:color="E3E3E3"/>
              <w:right w:val="single" w:sz="8" w:color="E3E3E3"/>
            </w:tcBorders>
          </w:tcPr>
          <w:p>
            <w:pPr>
              <w:spacing w:after="0"/>
              <w:rPr>
                <w:sz w:val="19"/>
                <w:szCs w:val="19"/>
                <w:color w:val="auto"/>
              </w:rPr>
            </w:pPr>
          </w:p>
        </w:tc>
        <w:tc>
          <w:tcPr>
            <w:tcW w:w="120" w:type="dxa"/>
            <w:vAlign w:val="bottom"/>
            <w:tcBorders>
              <w:top w:val="single" w:sz="8" w:color="auto"/>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E3E3E3"/>
              </w:rPr>
              <w:t>$</w:t>
            </w:r>
          </w:p>
        </w:tc>
        <w:tc>
          <w:tcPr>
            <w:tcW w:w="102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137,468</w:t>
            </w:r>
          </w:p>
        </w:tc>
        <w:tc>
          <w:tcPr>
            <w:tcW w:w="100" w:type="dxa"/>
            <w:vAlign w:val="bottom"/>
            <w:tcBorders>
              <w:top w:val="single" w:sz="8" w:color="E3E3E3"/>
              <w:bottom w:val="single" w:sz="8" w:color="E3E3E3"/>
            </w:tcBorders>
            <w:shd w:val="clear" w:color="auto" w:fill="E3E3E3"/>
          </w:tcPr>
          <w:p>
            <w:pPr>
              <w:spacing w:after="0"/>
              <w:rPr>
                <w:sz w:val="19"/>
                <w:szCs w:val="19"/>
                <w:color w:val="auto"/>
              </w:rPr>
            </w:pPr>
          </w:p>
        </w:tc>
      </w:tr>
      <w:tr>
        <w:trPr>
          <w:trHeight w:val="225"/>
        </w:trPr>
        <w:tc>
          <w:tcPr>
            <w:tcW w:w="4420" w:type="dxa"/>
            <w:vAlign w:val="bottom"/>
            <w:tcBorders>
              <w:bottom w:val="single" w:sz="8" w:color="E3E3E3"/>
            </w:tcBorders>
            <w:gridSpan w:val="3"/>
          </w:tcPr>
          <w:p>
            <w:pPr>
              <w:ind w:left="180"/>
              <w:spacing w:after="0" w:line="226" w:lineRule="exact"/>
              <w:rPr>
                <w:sz w:val="20"/>
                <w:szCs w:val="20"/>
                <w:color w:val="auto"/>
              </w:rPr>
            </w:pPr>
            <w:r>
              <w:rPr>
                <w:rFonts w:ascii="Times New Roman" w:cs="Times New Roman" w:eastAsia="Times New Roman" w:hAnsi="Times New Roman"/>
                <w:sz w:val="20"/>
                <w:szCs w:val="20"/>
                <w:color w:val="auto"/>
              </w:rPr>
              <w:t>Stock-based compensation for:</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04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r>
      <w:tr>
        <w:trPr>
          <w:trHeight w:val="215"/>
        </w:trPr>
        <w:tc>
          <w:tcPr>
            <w:tcW w:w="4320" w:type="dxa"/>
            <w:vAlign w:val="bottom"/>
            <w:tcBorders>
              <w:bottom w:val="single" w:sz="8" w:color="E3E3E3"/>
            </w:tcBorders>
            <w:shd w:val="clear" w:color="auto" w:fill="E3E3E3"/>
          </w:tcPr>
          <w:p>
            <w:pPr>
              <w:ind w:left="360"/>
              <w:spacing w:after="0" w:line="215" w:lineRule="exact"/>
              <w:rPr>
                <w:sz w:val="20"/>
                <w:szCs w:val="20"/>
                <w:color w:val="auto"/>
              </w:rPr>
            </w:pPr>
            <w:r>
              <w:rPr>
                <w:rFonts w:ascii="Times New Roman" w:cs="Times New Roman" w:eastAsia="Times New Roman" w:hAnsi="Times New Roman"/>
                <w:sz w:val="20"/>
                <w:szCs w:val="20"/>
                <w:color w:val="auto"/>
              </w:rPr>
              <w:t>Stock options for employees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8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18"/>
                <w:szCs w:val="18"/>
                <w:color w:val="auto"/>
              </w:rPr>
            </w:pPr>
          </w:p>
        </w:tc>
        <w:tc>
          <w:tcPr>
            <w:tcW w:w="6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15,054</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0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right w:val="single" w:sz="8" w:color="E3E3E3"/>
            </w:tcBorders>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102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15,054</w:t>
            </w:r>
          </w:p>
        </w:tc>
        <w:tc>
          <w:tcPr>
            <w:tcW w:w="100" w:type="dxa"/>
            <w:vAlign w:val="bottom"/>
            <w:tcBorders>
              <w:bottom w:val="single" w:sz="8" w:color="E3E3E3"/>
            </w:tcBorders>
            <w:shd w:val="clear" w:color="auto" w:fill="E3E3E3"/>
          </w:tcPr>
          <w:p>
            <w:pPr>
              <w:spacing w:after="0"/>
              <w:rPr>
                <w:sz w:val="18"/>
                <w:szCs w:val="18"/>
                <w:color w:val="auto"/>
              </w:rPr>
            </w:pPr>
          </w:p>
        </w:tc>
      </w:tr>
      <w:tr>
        <w:trPr>
          <w:trHeight w:val="225"/>
        </w:trPr>
        <w:tc>
          <w:tcPr>
            <w:tcW w:w="4420" w:type="dxa"/>
            <w:vAlign w:val="bottom"/>
            <w:tcBorders>
              <w:bottom w:val="single" w:sz="8" w:color="E3E3E3"/>
            </w:tcBorders>
            <w:gridSpan w:val="3"/>
          </w:tcPr>
          <w:p>
            <w:pPr>
              <w:ind w:left="360"/>
              <w:spacing w:after="0" w:line="225" w:lineRule="exact"/>
              <w:rPr>
                <w:sz w:val="20"/>
                <w:szCs w:val="20"/>
                <w:color w:val="auto"/>
              </w:rPr>
            </w:pPr>
            <w:r>
              <w:rPr>
                <w:rFonts w:ascii="Times New Roman" w:cs="Times New Roman" w:eastAsia="Times New Roman" w:hAnsi="Times New Roman"/>
                <w:sz w:val="20"/>
                <w:szCs w:val="20"/>
                <w:color w:val="auto"/>
              </w:rPr>
              <w:t>Stock options for non-employees</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8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1,237</w:t>
            </w: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04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2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1,237</w:t>
            </w:r>
          </w:p>
        </w:tc>
        <w:tc>
          <w:tcPr>
            <w:tcW w:w="100" w:type="dxa"/>
            <w:vAlign w:val="bottom"/>
            <w:tcBorders>
              <w:bottom w:val="single" w:sz="8" w:color="E3E3E3"/>
            </w:tcBorders>
          </w:tcPr>
          <w:p>
            <w:pPr>
              <w:spacing w:after="0"/>
              <w:rPr>
                <w:sz w:val="19"/>
                <w:szCs w:val="19"/>
                <w:color w:val="auto"/>
              </w:rPr>
            </w:pPr>
          </w:p>
        </w:tc>
      </w:tr>
      <w:tr>
        <w:trPr>
          <w:trHeight w:val="215"/>
        </w:trPr>
        <w:tc>
          <w:tcPr>
            <w:tcW w:w="4320" w:type="dxa"/>
            <w:vAlign w:val="bottom"/>
            <w:tcBorders>
              <w:bottom w:val="single" w:sz="8" w:color="E3E3E3"/>
            </w:tcBorders>
            <w:shd w:val="clear" w:color="auto" w:fill="E3E3E3"/>
          </w:tcPr>
          <w:p>
            <w:pPr>
              <w:ind w:left="180"/>
              <w:spacing w:after="0" w:line="215" w:lineRule="exact"/>
              <w:rPr>
                <w:sz w:val="20"/>
                <w:szCs w:val="20"/>
                <w:color w:val="auto"/>
              </w:rPr>
            </w:pPr>
            <w:r>
              <w:rPr>
                <w:rFonts w:ascii="Times New Roman" w:cs="Times New Roman" w:eastAsia="Times New Roman" w:hAnsi="Times New Roman"/>
                <w:sz w:val="20"/>
                <w:szCs w:val="20"/>
                <w:color w:val="auto"/>
              </w:rPr>
              <w:t>Issuance of warrants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8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18"/>
                <w:szCs w:val="18"/>
                <w:color w:val="auto"/>
              </w:rPr>
            </w:pPr>
          </w:p>
        </w:tc>
        <w:tc>
          <w:tcPr>
            <w:tcW w:w="6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(113,363)</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0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right w:val="single" w:sz="8" w:color="E3E3E3"/>
            </w:tcBorders>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102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(113,363)</w:t>
            </w:r>
          </w:p>
        </w:tc>
        <w:tc>
          <w:tcPr>
            <w:tcW w:w="100" w:type="dxa"/>
            <w:vAlign w:val="bottom"/>
            <w:tcBorders>
              <w:bottom w:val="single" w:sz="8" w:color="E3E3E3"/>
            </w:tcBorders>
            <w:shd w:val="clear" w:color="auto" w:fill="E3E3E3"/>
          </w:tcPr>
          <w:p>
            <w:pPr>
              <w:spacing w:after="0"/>
              <w:rPr>
                <w:sz w:val="18"/>
                <w:szCs w:val="18"/>
                <w:color w:val="auto"/>
              </w:rPr>
            </w:pPr>
          </w:p>
        </w:tc>
      </w:tr>
      <w:tr>
        <w:trPr>
          <w:trHeight w:val="199"/>
        </w:trPr>
        <w:tc>
          <w:tcPr>
            <w:tcW w:w="4420" w:type="dxa"/>
            <w:vAlign w:val="bottom"/>
            <w:gridSpan w:val="3"/>
          </w:tcPr>
          <w:p>
            <w:pPr>
              <w:ind w:left="180"/>
              <w:spacing w:after="0" w:line="199" w:lineRule="exact"/>
              <w:rPr>
                <w:sz w:val="20"/>
                <w:szCs w:val="20"/>
                <w:color w:val="auto"/>
              </w:rPr>
            </w:pPr>
            <w:r>
              <w:rPr>
                <w:rFonts w:ascii="Times New Roman" w:cs="Times New Roman" w:eastAsia="Times New Roman" w:hAnsi="Times New Roman"/>
                <w:sz w:val="20"/>
                <w:szCs w:val="20"/>
                <w:color w:val="auto"/>
              </w:rPr>
              <w:t>Common stock issued pursuant to warrant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420" w:type="dxa"/>
            <w:vAlign w:val="bottom"/>
            <w:tcBorders>
              <w:bottom w:val="single" w:sz="8" w:color="E3E3E3"/>
            </w:tcBorders>
            <w:gridSpan w:val="3"/>
          </w:tcPr>
          <w:p>
            <w:pPr>
              <w:ind w:left="180"/>
              <w:spacing w:after="0"/>
              <w:rPr>
                <w:sz w:val="20"/>
                <w:szCs w:val="20"/>
                <w:color w:val="auto"/>
              </w:rPr>
            </w:pPr>
            <w:r>
              <w:rPr>
                <w:rFonts w:ascii="Times New Roman" w:cs="Times New Roman" w:eastAsia="Times New Roman" w:hAnsi="Times New Roman"/>
                <w:sz w:val="20"/>
                <w:szCs w:val="20"/>
                <w:color w:val="auto"/>
              </w:rPr>
              <w:t>exercises, net of exercise costs</w:t>
            </w:r>
          </w:p>
        </w:tc>
        <w:tc>
          <w:tcPr>
            <w:tcW w:w="106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5,739,247</w:t>
            </w:r>
          </w:p>
        </w:tc>
        <w:tc>
          <w:tcPr>
            <w:tcW w:w="10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98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0" w:type="dxa"/>
            <w:vAlign w:val="bottom"/>
            <w:tcBorders>
              <w:bottom w:val="single" w:sz="8" w:color="E3E3E3"/>
            </w:tcBorders>
          </w:tcPr>
          <w:p>
            <w:pPr>
              <w:spacing w:after="0"/>
              <w:rPr>
                <w:sz w:val="22"/>
                <w:szCs w:val="22"/>
                <w:color w:val="auto"/>
              </w:rPr>
            </w:pPr>
          </w:p>
        </w:tc>
        <w:tc>
          <w:tcPr>
            <w:tcW w:w="6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20" w:type="dxa"/>
            <w:vAlign w:val="bottom"/>
            <w:tcBorders>
              <w:bottom w:val="single" w:sz="8" w:color="E3E3E3"/>
            </w:tcBorders>
          </w:tcPr>
          <w:p>
            <w:pPr>
              <w:spacing w:after="0"/>
              <w:rPr>
                <w:sz w:val="22"/>
                <w:szCs w:val="22"/>
                <w:color w:val="auto"/>
              </w:rPr>
            </w:pPr>
          </w:p>
        </w:tc>
        <w:tc>
          <w:tcPr>
            <w:tcW w:w="96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123,546</w:t>
            </w:r>
          </w:p>
        </w:tc>
        <w:tc>
          <w:tcPr>
            <w:tcW w:w="10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240" w:type="dxa"/>
            <w:vAlign w:val="bottom"/>
            <w:tcBorders>
              <w:bottom w:val="single" w:sz="8" w:color="E3E3E3"/>
            </w:tcBorders>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3E3E3"/>
            </w:tcBorders>
          </w:tcPr>
          <w:p>
            <w:pPr>
              <w:spacing w:after="0"/>
              <w:rPr>
                <w:sz w:val="22"/>
                <w:szCs w:val="22"/>
                <w:color w:val="auto"/>
              </w:rPr>
            </w:pPr>
          </w:p>
        </w:tc>
        <w:tc>
          <w:tcPr>
            <w:tcW w:w="10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123,552</w:t>
            </w:r>
          </w:p>
        </w:tc>
        <w:tc>
          <w:tcPr>
            <w:tcW w:w="100" w:type="dxa"/>
            <w:vAlign w:val="bottom"/>
            <w:tcBorders>
              <w:bottom w:val="single" w:sz="8" w:color="E3E3E3"/>
            </w:tcBorders>
          </w:tcPr>
          <w:p>
            <w:pPr>
              <w:spacing w:after="0"/>
              <w:rPr>
                <w:sz w:val="22"/>
                <w:szCs w:val="22"/>
                <w:color w:val="auto"/>
              </w:rPr>
            </w:pPr>
          </w:p>
        </w:tc>
      </w:tr>
      <w:tr>
        <w:trPr>
          <w:trHeight w:val="213"/>
        </w:trPr>
        <w:tc>
          <w:tcPr>
            <w:tcW w:w="4320" w:type="dxa"/>
            <w:vAlign w:val="bottom"/>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Derecognition of warrant liabilities upon exercise</w:t>
            </w:r>
          </w:p>
        </w:tc>
        <w:tc>
          <w:tcPr>
            <w:tcW w:w="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9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9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9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040" w:type="dxa"/>
            <w:vAlign w:val="bottom"/>
            <w:shd w:val="clear" w:color="auto" w:fill="E3E3E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E3E3E3"/>
          </w:tcPr>
          <w:p>
            <w:pPr>
              <w:spacing w:after="0"/>
              <w:rPr>
                <w:sz w:val="18"/>
                <w:szCs w:val="18"/>
                <w:color w:val="auto"/>
              </w:rPr>
            </w:pPr>
          </w:p>
        </w:tc>
        <w:tc>
          <w:tcPr>
            <w:tcW w:w="100" w:type="dxa"/>
            <w:vAlign w:val="bottom"/>
            <w:tcBorders>
              <w:right w:val="single" w:sz="8" w:color="E3E3E3"/>
            </w:tcBorders>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30"/>
        </w:trPr>
        <w:tc>
          <w:tcPr>
            <w:tcW w:w="432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of warrants</w:t>
            </w: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9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9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20"/>
                <w:szCs w:val="20"/>
                <w:color w:val="auto"/>
              </w:rPr>
            </w:pPr>
          </w:p>
        </w:tc>
        <w:tc>
          <w:tcPr>
            <w:tcW w:w="6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9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5,180</w:t>
            </w:r>
          </w:p>
        </w:tc>
        <w:tc>
          <w:tcPr>
            <w:tcW w:w="10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right w:val="single" w:sz="8" w:color="E3E3E3"/>
            </w:tcBorders>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0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5,180</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02"/>
        </w:trPr>
        <w:tc>
          <w:tcPr>
            <w:tcW w:w="442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20"/>
                <w:szCs w:val="20"/>
                <w:color w:val="auto"/>
              </w:rPr>
              <w:t>Issuance of common stock pursuant to exercise of</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4420" w:type="dxa"/>
            <w:vAlign w:val="bottom"/>
            <w:tcBorders>
              <w:bottom w:val="single" w:sz="8" w:color="E3E3E3"/>
            </w:tcBorders>
            <w:gridSpan w:val="3"/>
          </w:tcPr>
          <w:p>
            <w:pPr>
              <w:ind w:left="180"/>
              <w:spacing w:after="0"/>
              <w:rPr>
                <w:sz w:val="20"/>
                <w:szCs w:val="20"/>
                <w:color w:val="auto"/>
              </w:rPr>
            </w:pPr>
            <w:r>
              <w:rPr>
                <w:rFonts w:ascii="Times New Roman" w:cs="Times New Roman" w:eastAsia="Times New Roman" w:hAnsi="Times New Roman"/>
                <w:sz w:val="20"/>
                <w:szCs w:val="20"/>
                <w:color w:val="auto"/>
              </w:rPr>
              <w:t>stock options</w:t>
            </w:r>
          </w:p>
        </w:tc>
        <w:tc>
          <w:tcPr>
            <w:tcW w:w="106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227,013</w:t>
            </w:r>
          </w:p>
        </w:tc>
        <w:tc>
          <w:tcPr>
            <w:tcW w:w="10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98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22"/>
                <w:szCs w:val="22"/>
                <w:color w:val="auto"/>
              </w:rPr>
            </w:pPr>
          </w:p>
        </w:tc>
        <w:tc>
          <w:tcPr>
            <w:tcW w:w="6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20" w:type="dxa"/>
            <w:vAlign w:val="bottom"/>
            <w:tcBorders>
              <w:bottom w:val="single" w:sz="8" w:color="E3E3E3"/>
            </w:tcBorders>
          </w:tcPr>
          <w:p>
            <w:pPr>
              <w:spacing w:after="0"/>
              <w:rPr>
                <w:sz w:val="22"/>
                <w:szCs w:val="22"/>
                <w:color w:val="auto"/>
              </w:rPr>
            </w:pPr>
          </w:p>
        </w:tc>
        <w:tc>
          <w:tcPr>
            <w:tcW w:w="96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10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240" w:type="dxa"/>
            <w:vAlign w:val="bottom"/>
            <w:tcBorders>
              <w:bottom w:val="single" w:sz="8" w:color="E3E3E3"/>
            </w:tcBorders>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3E3E3"/>
            </w:tcBorders>
          </w:tcPr>
          <w:p>
            <w:pPr>
              <w:spacing w:after="0"/>
              <w:rPr>
                <w:sz w:val="22"/>
                <w:szCs w:val="22"/>
                <w:color w:val="auto"/>
              </w:rPr>
            </w:pPr>
          </w:p>
        </w:tc>
        <w:tc>
          <w:tcPr>
            <w:tcW w:w="10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100" w:type="dxa"/>
            <w:vAlign w:val="bottom"/>
            <w:tcBorders>
              <w:bottom w:val="single" w:sz="8" w:color="E3E3E3"/>
            </w:tcBorders>
          </w:tcPr>
          <w:p>
            <w:pPr>
              <w:spacing w:after="0"/>
              <w:rPr>
                <w:sz w:val="22"/>
                <w:szCs w:val="22"/>
                <w:color w:val="auto"/>
              </w:rPr>
            </w:pPr>
          </w:p>
        </w:tc>
      </w:tr>
      <w:tr>
        <w:trPr>
          <w:trHeight w:val="253"/>
        </w:trPr>
        <w:tc>
          <w:tcPr>
            <w:tcW w:w="432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Net loss</w:t>
            </w:r>
          </w:p>
        </w:tc>
        <w:tc>
          <w:tcPr>
            <w:tcW w:w="8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98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21"/>
                <w:szCs w:val="21"/>
                <w:color w:val="auto"/>
              </w:rPr>
            </w:pPr>
          </w:p>
        </w:tc>
        <w:tc>
          <w:tcPr>
            <w:tcW w:w="6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auto"/>
            </w:tcBorders>
            <w:shd w:val="clear" w:color="auto" w:fill="E3E3E3"/>
          </w:tcPr>
          <w:p>
            <w:pPr>
              <w:spacing w:after="0"/>
              <w:rPr>
                <w:sz w:val="21"/>
                <w:szCs w:val="21"/>
                <w:color w:val="auto"/>
              </w:rPr>
            </w:pPr>
          </w:p>
        </w:tc>
        <w:tc>
          <w:tcPr>
            <w:tcW w:w="96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2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104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(24,342)</w:t>
            </w:r>
          </w:p>
        </w:tc>
        <w:tc>
          <w:tcPr>
            <w:tcW w:w="20" w:type="dxa"/>
            <w:vAlign w:val="bottom"/>
            <w:tcBorders>
              <w:bottom w:val="single" w:sz="8" w:color="E3E3E3"/>
            </w:tcBorders>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right w:val="single" w:sz="8" w:color="E3E3E3"/>
            </w:tcBorders>
          </w:tcPr>
          <w:p>
            <w:pPr>
              <w:spacing w:after="0"/>
              <w:rPr>
                <w:sz w:val="21"/>
                <w:szCs w:val="21"/>
                <w:color w:val="auto"/>
              </w:rPr>
            </w:pPr>
          </w:p>
        </w:tc>
        <w:tc>
          <w:tcPr>
            <w:tcW w:w="120" w:type="dxa"/>
            <w:vAlign w:val="bottom"/>
            <w:tcBorders>
              <w:bottom w:val="single" w:sz="8" w:color="auto"/>
            </w:tcBorders>
            <w:shd w:val="clear" w:color="auto" w:fill="E3E3E3"/>
          </w:tcPr>
          <w:p>
            <w:pPr>
              <w:spacing w:after="0"/>
              <w:rPr>
                <w:sz w:val="21"/>
                <w:szCs w:val="21"/>
                <w:color w:val="auto"/>
              </w:rPr>
            </w:pPr>
          </w:p>
        </w:tc>
        <w:tc>
          <w:tcPr>
            <w:tcW w:w="102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(24,342)</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199"/>
        </w:trPr>
        <w:tc>
          <w:tcPr>
            <w:tcW w:w="4320" w:type="dxa"/>
            <w:vAlign w:val="bottom"/>
          </w:tcPr>
          <w:p>
            <w:pPr>
              <w:spacing w:after="0" w:line="195" w:lineRule="exact"/>
              <w:rPr>
                <w:sz w:val="20"/>
                <w:szCs w:val="20"/>
                <w:color w:val="auto"/>
              </w:rPr>
            </w:pPr>
            <w:r>
              <w:rPr>
                <w:rFonts w:ascii="Times New Roman" w:cs="Times New Roman" w:eastAsia="Times New Roman" w:hAnsi="Times New Roman"/>
                <w:sz w:val="20"/>
                <w:szCs w:val="20"/>
                <w:b w:val="1"/>
                <w:bCs w:val="1"/>
                <w:color w:val="auto"/>
              </w:rPr>
              <w:t>Balance at December 31, 2024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20"/>
                <w:szCs w:val="20"/>
                <w:color w:val="auto"/>
              </w:rPr>
              <w:t>48,203,179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550,767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(405,111</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Pr>
          <w:p>
            <w:pPr>
              <w:spacing w:after="0"/>
              <w:rPr>
                <w:sz w:val="17"/>
                <w:szCs w:val="17"/>
                <w:color w:val="auto"/>
              </w:rPr>
            </w:pPr>
          </w:p>
        </w:tc>
        <w:tc>
          <w:tcPr>
            <w:tcW w:w="120" w:type="dxa"/>
            <w:vAlign w:val="bottom"/>
          </w:tcPr>
          <w:p>
            <w:pPr>
              <w:spacing w:after="0" w:line="199" w:lineRule="exact"/>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145,704</w:t>
            </w:r>
          </w:p>
        </w:tc>
        <w:tc>
          <w:tcPr>
            <w:tcW w:w="100" w:type="dxa"/>
            <w:vAlign w:val="bottom"/>
          </w:tcPr>
          <w:p>
            <w:pPr>
              <w:spacing w:after="0"/>
              <w:rPr>
                <w:sz w:val="17"/>
                <w:szCs w:val="17"/>
                <w:color w:val="auto"/>
              </w:rPr>
            </w:pPr>
          </w:p>
        </w:tc>
      </w:tr>
      <w:tr>
        <w:trPr>
          <w:trHeight w:val="45"/>
        </w:trPr>
        <w:tc>
          <w:tcPr>
            <w:tcW w:w="4400" w:type="dxa"/>
            <w:vAlign w:val="bottom"/>
            <w:tcBorders>
              <w:bottom w:val="single" w:sz="8" w:color="E3E3E3"/>
            </w:tcBorders>
            <w:gridSpan w:val="2"/>
          </w:tcPr>
          <w:p>
            <w:pPr>
              <w:spacing w:after="0"/>
              <w:rPr>
                <w:sz w:val="3"/>
                <w:szCs w:val="3"/>
                <w:color w:val="auto"/>
              </w:rPr>
            </w:pPr>
          </w:p>
        </w:tc>
        <w:tc>
          <w:tcPr>
            <w:tcW w:w="20" w:type="dxa"/>
            <w:vAlign w:val="bottom"/>
            <w:tcBorders>
              <w:bottom w:val="single" w:sz="8" w:color="E3E3E3"/>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E3E3E3"/>
            </w:tcBorders>
          </w:tcPr>
          <w:p>
            <w:pPr>
              <w:spacing w:after="0"/>
              <w:rPr>
                <w:sz w:val="3"/>
                <w:szCs w:val="3"/>
                <w:color w:val="auto"/>
              </w:rPr>
            </w:pPr>
          </w:p>
        </w:tc>
        <w:tc>
          <w:tcPr>
            <w:tcW w:w="80" w:type="dxa"/>
            <w:vAlign w:val="bottom"/>
            <w:tcBorders>
              <w:bottom w:val="single" w:sz="8" w:color="E3E3E3"/>
            </w:tcBorders>
          </w:tcPr>
          <w:p>
            <w:pPr>
              <w:spacing w:after="0"/>
              <w:rPr>
                <w:sz w:val="3"/>
                <w:szCs w:val="3"/>
                <w:color w:val="auto"/>
              </w:rPr>
            </w:pPr>
          </w:p>
        </w:tc>
        <w:tc>
          <w:tcPr>
            <w:tcW w:w="20" w:type="dxa"/>
            <w:vAlign w:val="bottom"/>
            <w:tcBorders>
              <w:bottom w:val="single" w:sz="8" w:color="E3E3E3"/>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E3E3E3"/>
            </w:tcBorders>
          </w:tcPr>
          <w:p>
            <w:pPr>
              <w:spacing w:after="0"/>
              <w:rPr>
                <w:sz w:val="3"/>
                <w:szCs w:val="3"/>
                <w:color w:val="auto"/>
              </w:rPr>
            </w:pPr>
          </w:p>
        </w:tc>
        <w:tc>
          <w:tcPr>
            <w:tcW w:w="60" w:type="dxa"/>
            <w:vAlign w:val="bottom"/>
            <w:tcBorders>
              <w:bottom w:val="single" w:sz="8" w:color="E3E3E3"/>
            </w:tcBorders>
          </w:tcPr>
          <w:p>
            <w:pPr>
              <w:spacing w:after="0"/>
              <w:rPr>
                <w:sz w:val="3"/>
                <w:szCs w:val="3"/>
                <w:color w:val="auto"/>
              </w:rPr>
            </w:pPr>
          </w:p>
        </w:tc>
        <w:tc>
          <w:tcPr>
            <w:tcW w:w="100" w:type="dxa"/>
            <w:vAlign w:val="bottom"/>
            <w:tcBorders>
              <w:bottom w:val="single" w:sz="8" w:color="E3E3E3"/>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E3E3E3"/>
            </w:tcBorders>
          </w:tcPr>
          <w:p>
            <w:pPr>
              <w:spacing w:after="0"/>
              <w:rPr>
                <w:sz w:val="3"/>
                <w:szCs w:val="3"/>
                <w:color w:val="auto"/>
              </w:rPr>
            </w:pPr>
          </w:p>
        </w:tc>
        <w:tc>
          <w:tcPr>
            <w:tcW w:w="80" w:type="dxa"/>
            <w:vAlign w:val="bottom"/>
            <w:tcBorders>
              <w:bottom w:val="single" w:sz="8" w:color="E3E3E3"/>
            </w:tcBorders>
          </w:tcPr>
          <w:p>
            <w:pPr>
              <w:spacing w:after="0"/>
              <w:rPr>
                <w:sz w:val="3"/>
                <w:szCs w:val="3"/>
                <w:color w:val="auto"/>
              </w:rPr>
            </w:pPr>
          </w:p>
        </w:tc>
        <w:tc>
          <w:tcPr>
            <w:tcW w:w="20" w:type="dxa"/>
            <w:vAlign w:val="bottom"/>
            <w:tcBorders>
              <w:bottom w:val="single" w:sz="8" w:color="E3E3E3"/>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E3E3E3"/>
            </w:tcBorders>
          </w:tcPr>
          <w:p>
            <w:pPr>
              <w:spacing w:after="0"/>
              <w:rPr>
                <w:sz w:val="3"/>
                <w:szCs w:val="3"/>
                <w:color w:val="auto"/>
              </w:rPr>
            </w:pPr>
          </w:p>
        </w:tc>
        <w:tc>
          <w:tcPr>
            <w:tcW w:w="100" w:type="dxa"/>
            <w:vAlign w:val="bottom"/>
            <w:tcBorders>
              <w:bottom w:val="single" w:sz="8" w:color="E3E3E3"/>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E3E3E3"/>
            </w:tcBorders>
          </w:tcPr>
          <w:p>
            <w:pPr>
              <w:spacing w:after="0"/>
              <w:rPr>
                <w:sz w:val="3"/>
                <w:szCs w:val="3"/>
                <w:color w:val="auto"/>
              </w:rPr>
            </w:pPr>
          </w:p>
        </w:tc>
      </w:tr>
      <w:tr>
        <w:trPr>
          <w:trHeight w:val="228"/>
        </w:trPr>
        <w:tc>
          <w:tcPr>
            <w:tcW w:w="4320" w:type="dxa"/>
            <w:vAlign w:val="bottom"/>
            <w:tcBorders>
              <w:bottom w:val="single" w:sz="8" w:color="E3E3E3"/>
            </w:tcBorders>
            <w:shd w:val="clear" w:color="auto" w:fill="E3E3E3"/>
          </w:tcPr>
          <w:p>
            <w:pPr>
              <w:ind w:left="180"/>
              <w:spacing w:after="0" w:line="228" w:lineRule="exact"/>
              <w:rPr>
                <w:sz w:val="20"/>
                <w:szCs w:val="20"/>
                <w:color w:val="auto"/>
              </w:rPr>
            </w:pPr>
            <w:r>
              <w:rPr>
                <w:rFonts w:ascii="Times New Roman" w:cs="Times New Roman" w:eastAsia="Times New Roman" w:hAnsi="Times New Roman"/>
                <w:sz w:val="20"/>
                <w:szCs w:val="20"/>
                <w:color w:val="auto"/>
              </w:rPr>
              <w:t>Stock-based compensation for:</w:t>
            </w: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96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9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6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20" w:type="dxa"/>
            <w:vAlign w:val="bottom"/>
            <w:tcBorders>
              <w:bottom w:val="single" w:sz="8" w:color="E3E3E3"/>
            </w:tcBorders>
            <w:shd w:val="clear" w:color="auto" w:fill="E3E3E3"/>
          </w:tcPr>
          <w:p>
            <w:pPr>
              <w:spacing w:after="0"/>
              <w:rPr>
                <w:sz w:val="19"/>
                <w:szCs w:val="19"/>
                <w:color w:val="auto"/>
              </w:rPr>
            </w:pPr>
          </w:p>
        </w:tc>
        <w:tc>
          <w:tcPr>
            <w:tcW w:w="96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040" w:type="dxa"/>
            <w:vAlign w:val="bottom"/>
            <w:tcBorders>
              <w:bottom w:val="single" w:sz="8" w:color="E3E3E3"/>
            </w:tcBorders>
            <w:shd w:val="clear" w:color="auto" w:fill="E3E3E3"/>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right w:val="single" w:sz="8" w:color="E3E3E3"/>
            </w:tcBorders>
          </w:tcPr>
          <w:p>
            <w:pPr>
              <w:spacing w:after="0"/>
              <w:rPr>
                <w:sz w:val="19"/>
                <w:szCs w:val="19"/>
                <w:color w:val="auto"/>
              </w:rPr>
            </w:pPr>
          </w:p>
        </w:tc>
        <w:tc>
          <w:tcPr>
            <w:tcW w:w="120" w:type="dxa"/>
            <w:vAlign w:val="bottom"/>
            <w:tcBorders>
              <w:bottom w:val="single" w:sz="8" w:color="E3E3E3"/>
            </w:tcBorders>
            <w:shd w:val="clear" w:color="auto" w:fill="E3E3E3"/>
          </w:tcPr>
          <w:p>
            <w:pPr>
              <w:spacing w:after="0"/>
              <w:rPr>
                <w:sz w:val="19"/>
                <w:szCs w:val="19"/>
                <w:color w:val="auto"/>
              </w:rPr>
            </w:pPr>
          </w:p>
        </w:tc>
        <w:tc>
          <w:tcPr>
            <w:tcW w:w="10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r>
      <w:tr>
        <w:trPr>
          <w:trHeight w:val="225"/>
        </w:trPr>
        <w:tc>
          <w:tcPr>
            <w:tcW w:w="4420" w:type="dxa"/>
            <w:vAlign w:val="bottom"/>
            <w:tcBorders>
              <w:bottom w:val="single" w:sz="8" w:color="E3E3E3"/>
            </w:tcBorders>
            <w:gridSpan w:val="3"/>
          </w:tcPr>
          <w:p>
            <w:pPr>
              <w:ind w:left="360"/>
              <w:spacing w:after="0" w:line="225" w:lineRule="exact"/>
              <w:rPr>
                <w:sz w:val="20"/>
                <w:szCs w:val="20"/>
                <w:color w:val="auto"/>
              </w:rPr>
            </w:pPr>
            <w:r>
              <w:rPr>
                <w:rFonts w:ascii="Times New Roman" w:cs="Times New Roman" w:eastAsia="Times New Roman" w:hAnsi="Times New Roman"/>
                <w:sz w:val="20"/>
                <w:szCs w:val="20"/>
                <w:color w:val="auto"/>
              </w:rPr>
              <w:t>Stock options for employees</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8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6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18,776</w:t>
            </w:r>
          </w:p>
        </w:tc>
        <w:tc>
          <w:tcPr>
            <w:tcW w:w="10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04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2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18,776</w:t>
            </w:r>
          </w:p>
        </w:tc>
        <w:tc>
          <w:tcPr>
            <w:tcW w:w="100" w:type="dxa"/>
            <w:vAlign w:val="bottom"/>
            <w:tcBorders>
              <w:bottom w:val="single" w:sz="8" w:color="E3E3E3"/>
            </w:tcBorders>
          </w:tcPr>
          <w:p>
            <w:pPr>
              <w:spacing w:after="0"/>
              <w:rPr>
                <w:sz w:val="19"/>
                <w:szCs w:val="19"/>
                <w:color w:val="auto"/>
              </w:rPr>
            </w:pPr>
          </w:p>
        </w:tc>
      </w:tr>
      <w:tr>
        <w:trPr>
          <w:trHeight w:val="216"/>
        </w:trPr>
        <w:tc>
          <w:tcPr>
            <w:tcW w:w="4320" w:type="dxa"/>
            <w:vAlign w:val="bottom"/>
            <w:tcBorders>
              <w:bottom w:val="single" w:sz="8" w:color="E3E3E3"/>
            </w:tcBorders>
            <w:shd w:val="clear" w:color="auto" w:fill="E3E3E3"/>
          </w:tcPr>
          <w:p>
            <w:pPr>
              <w:ind w:left="360"/>
              <w:spacing w:after="0" w:line="216" w:lineRule="exact"/>
              <w:rPr>
                <w:sz w:val="20"/>
                <w:szCs w:val="20"/>
                <w:color w:val="auto"/>
              </w:rPr>
            </w:pPr>
            <w:r>
              <w:rPr>
                <w:rFonts w:ascii="Times New Roman" w:cs="Times New Roman" w:eastAsia="Times New Roman" w:hAnsi="Times New Roman"/>
                <w:sz w:val="20"/>
                <w:szCs w:val="20"/>
                <w:color w:val="auto"/>
              </w:rPr>
              <w:t>Stock options for non-employees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8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18"/>
                <w:szCs w:val="18"/>
                <w:color w:val="auto"/>
              </w:rPr>
            </w:pPr>
          </w:p>
        </w:tc>
        <w:tc>
          <w:tcPr>
            <w:tcW w:w="6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806</w:t>
            </w:r>
          </w:p>
        </w:tc>
        <w:tc>
          <w:tcPr>
            <w:tcW w:w="10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04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right w:val="single" w:sz="8" w:color="E3E3E3"/>
            </w:tcBorders>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102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806</w:t>
            </w:r>
          </w:p>
        </w:tc>
        <w:tc>
          <w:tcPr>
            <w:tcW w:w="100" w:type="dxa"/>
            <w:vAlign w:val="bottom"/>
            <w:tcBorders>
              <w:bottom w:val="single" w:sz="8" w:color="E3E3E3"/>
            </w:tcBorders>
            <w:shd w:val="clear" w:color="auto" w:fill="E3E3E3"/>
          </w:tcPr>
          <w:p>
            <w:pPr>
              <w:spacing w:after="0"/>
              <w:rPr>
                <w:sz w:val="18"/>
                <w:szCs w:val="18"/>
                <w:color w:val="auto"/>
              </w:rPr>
            </w:pPr>
          </w:p>
        </w:tc>
      </w:tr>
      <w:tr>
        <w:trPr>
          <w:trHeight w:val="202"/>
        </w:trPr>
        <w:tc>
          <w:tcPr>
            <w:tcW w:w="4420" w:type="dxa"/>
            <w:vAlign w:val="bottom"/>
            <w:gridSpan w:val="3"/>
          </w:tcPr>
          <w:p>
            <w:pPr>
              <w:ind w:left="180"/>
              <w:spacing w:after="0" w:line="202" w:lineRule="exact"/>
              <w:rPr>
                <w:sz w:val="20"/>
                <w:szCs w:val="20"/>
                <w:color w:val="auto"/>
              </w:rPr>
            </w:pPr>
            <w:r>
              <w:rPr>
                <w:rFonts w:ascii="Times New Roman" w:cs="Times New Roman" w:eastAsia="Times New Roman" w:hAnsi="Times New Roman"/>
                <w:sz w:val="20"/>
                <w:szCs w:val="20"/>
                <w:color w:val="auto"/>
              </w:rPr>
              <w:t>Issuance of common stock pursuant to exercise of</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4420" w:type="dxa"/>
            <w:vAlign w:val="bottom"/>
            <w:tcBorders>
              <w:bottom w:val="single" w:sz="8" w:color="E3E3E3"/>
            </w:tcBorders>
            <w:gridSpan w:val="3"/>
          </w:tcPr>
          <w:p>
            <w:pPr>
              <w:ind w:left="180"/>
              <w:spacing w:after="0"/>
              <w:rPr>
                <w:sz w:val="20"/>
                <w:szCs w:val="20"/>
                <w:color w:val="auto"/>
              </w:rPr>
            </w:pPr>
            <w:r>
              <w:rPr>
                <w:rFonts w:ascii="Times New Roman" w:cs="Times New Roman" w:eastAsia="Times New Roman" w:hAnsi="Times New Roman"/>
                <w:sz w:val="20"/>
                <w:szCs w:val="20"/>
                <w:color w:val="auto"/>
              </w:rPr>
              <w:t>stock options</w:t>
            </w:r>
          </w:p>
        </w:tc>
        <w:tc>
          <w:tcPr>
            <w:tcW w:w="106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104,717</w:t>
            </w:r>
          </w:p>
        </w:tc>
        <w:tc>
          <w:tcPr>
            <w:tcW w:w="10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98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22"/>
                <w:szCs w:val="22"/>
                <w:color w:val="auto"/>
              </w:rPr>
            </w:pPr>
          </w:p>
        </w:tc>
        <w:tc>
          <w:tcPr>
            <w:tcW w:w="6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20" w:type="dxa"/>
            <w:vAlign w:val="bottom"/>
            <w:tcBorders>
              <w:bottom w:val="single" w:sz="8" w:color="E3E3E3"/>
            </w:tcBorders>
          </w:tcPr>
          <w:p>
            <w:pPr>
              <w:spacing w:after="0"/>
              <w:rPr>
                <w:sz w:val="22"/>
                <w:szCs w:val="22"/>
                <w:color w:val="auto"/>
              </w:rPr>
            </w:pPr>
          </w:p>
        </w:tc>
        <w:tc>
          <w:tcPr>
            <w:tcW w:w="96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240" w:type="dxa"/>
            <w:vAlign w:val="bottom"/>
            <w:tcBorders>
              <w:bottom w:val="single" w:sz="8" w:color="E3E3E3"/>
            </w:tcBorders>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E3E3E3"/>
            </w:tcBorders>
          </w:tcPr>
          <w:p>
            <w:pPr>
              <w:spacing w:after="0"/>
              <w:rPr>
                <w:sz w:val="22"/>
                <w:szCs w:val="22"/>
                <w:color w:val="auto"/>
              </w:rPr>
            </w:pPr>
          </w:p>
        </w:tc>
        <w:tc>
          <w:tcPr>
            <w:tcW w:w="10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Borders>
              <w:bottom w:val="single" w:sz="8" w:color="E3E3E3"/>
            </w:tcBorders>
          </w:tcPr>
          <w:p>
            <w:pPr>
              <w:spacing w:after="0"/>
              <w:rPr>
                <w:sz w:val="22"/>
                <w:szCs w:val="22"/>
                <w:color w:val="auto"/>
              </w:rPr>
            </w:pPr>
          </w:p>
        </w:tc>
      </w:tr>
      <w:tr>
        <w:trPr>
          <w:trHeight w:val="233"/>
        </w:trPr>
        <w:tc>
          <w:tcPr>
            <w:tcW w:w="432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Net loss</w:t>
            </w: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96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98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shd w:val="clear" w:color="auto" w:fill="E3E3E3"/>
          </w:tcPr>
          <w:p>
            <w:pPr>
              <w:spacing w:after="0"/>
              <w:rPr>
                <w:sz w:val="20"/>
                <w:szCs w:val="20"/>
                <w:color w:val="auto"/>
              </w:rPr>
            </w:pPr>
          </w:p>
        </w:tc>
        <w:tc>
          <w:tcPr>
            <w:tcW w:w="6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96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04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(90,973)</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right w:val="single" w:sz="8" w:color="E3E3E3"/>
            </w:tcBorders>
          </w:tcPr>
          <w:p>
            <w:pPr>
              <w:spacing w:after="0"/>
              <w:rPr>
                <w:sz w:val="20"/>
                <w:szCs w:val="20"/>
                <w:color w:val="auto"/>
              </w:rPr>
            </w:pPr>
          </w:p>
        </w:tc>
        <w:tc>
          <w:tcPr>
            <w:tcW w:w="120" w:type="dxa"/>
            <w:vAlign w:val="bottom"/>
            <w:tcBorders>
              <w:bottom w:val="single" w:sz="8" w:color="auto"/>
            </w:tcBorders>
            <w:shd w:val="clear" w:color="auto" w:fill="E3E3E3"/>
          </w:tcPr>
          <w:p>
            <w:pPr>
              <w:spacing w:after="0"/>
              <w:rPr>
                <w:sz w:val="20"/>
                <w:szCs w:val="20"/>
                <w:color w:val="auto"/>
              </w:rPr>
            </w:pPr>
          </w:p>
        </w:tc>
        <w:tc>
          <w:tcPr>
            <w:tcW w:w="102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(90,973)</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9"/>
        </w:trPr>
        <w:tc>
          <w:tcPr>
            <w:tcW w:w="43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Balance at December 31, 2025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48,307,896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570,439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(496,084)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74,403</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4286250</wp:posOffset>
                </wp:positionH>
                <wp:positionV relativeFrom="paragraph">
                  <wp:posOffset>-4491355</wp:posOffset>
                </wp:positionV>
                <wp:extent cx="12636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353.6499pt" to="347.45pt,-353.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-2959735</wp:posOffset>
                </wp:positionV>
                <wp:extent cx="685927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33.0499pt" to="540.3pt,-233.0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3477895</wp:posOffset>
                </wp:positionH>
                <wp:positionV relativeFrom="paragraph">
                  <wp:posOffset>-1298575</wp:posOffset>
                </wp:positionV>
                <wp:extent cx="1270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85pt,-102.2499pt" to="283.85pt,-10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4286250</wp:posOffset>
                </wp:positionH>
                <wp:positionV relativeFrom="paragraph">
                  <wp:posOffset>-1298575</wp:posOffset>
                </wp:positionV>
                <wp:extent cx="126365"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102.2499pt" to="347.45pt,-10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5093970</wp:posOffset>
                </wp:positionH>
                <wp:positionV relativeFrom="paragraph">
                  <wp:posOffset>-1298575</wp:posOffset>
                </wp:positionV>
                <wp:extent cx="12636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pt,-102.2499pt" to="411.05pt,-10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5946140</wp:posOffset>
                </wp:positionH>
                <wp:positionV relativeFrom="paragraph">
                  <wp:posOffset>-1298575</wp:posOffset>
                </wp:positionV>
                <wp:extent cx="12636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pt,-102.2499pt" to="478.15pt,-102.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-1131570</wp:posOffset>
                </wp:positionV>
                <wp:extent cx="52895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955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9.0999pt" to="416.7pt,-89.09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3477895</wp:posOffset>
                </wp:positionH>
                <wp:positionV relativeFrom="paragraph">
                  <wp:posOffset>-193040</wp:posOffset>
                </wp:positionV>
                <wp:extent cx="1270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85pt,-15.1999pt" to="283.8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4286250</wp:posOffset>
                </wp:positionH>
                <wp:positionV relativeFrom="paragraph">
                  <wp:posOffset>-193040</wp:posOffset>
                </wp:positionV>
                <wp:extent cx="12636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7.5pt,-15.1999pt" to="347.4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5093970</wp:posOffset>
                </wp:positionH>
                <wp:positionV relativeFrom="paragraph">
                  <wp:posOffset>-193040</wp:posOffset>
                </wp:positionV>
                <wp:extent cx="1263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1.1pt,-15.1999pt" to="411.0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5946140</wp:posOffset>
                </wp:positionH>
                <wp:positionV relativeFrom="paragraph">
                  <wp:posOffset>-193040</wp:posOffset>
                </wp:positionV>
                <wp:extent cx="12636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2pt,-15.1999pt" to="478.1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-26670</wp:posOffset>
                </wp:positionV>
                <wp:extent cx="347535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75355"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999pt" to="273.85pt,-2.09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3674745</wp:posOffset>
                </wp:positionH>
                <wp:positionV relativeFrom="paragraph">
                  <wp:posOffset>-26670</wp:posOffset>
                </wp:positionV>
                <wp:extent cx="161734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345"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35pt,-2.0999pt" to="416.7pt,-2.0999pt" o:allowincell="f" strokecolor="#FFFFFF" strokeweight="2.5199pt"/>
            </w:pict>
          </mc:Fallback>
        </mc:AlternateConten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87 / 117</w:t>
      </w:r>
    </w:p>
    <w:p>
      <w:pPr>
        <w:sectPr>
          <w:pgSz w:w="12240" w:h="15840" w:orient="portrait"/>
          <w:cols w:equalWidth="0" w:num="1">
            <w:col w:w="10800"/>
          </w:cols>
          <w:pgMar w:left="720" w:top="1060" w:right="720"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FILANA THERAPEUTICS, INC.</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5950" w:type="dxa"/>
            <w:vAlign w:val="bottom"/>
            <w:tcBorders>
              <w:bottom w:val="single" w:sz="8" w:color="E3E3E3"/>
            </w:tcBorders>
          </w:tcPr>
          <w:p>
            <w:pPr>
              <w:spacing w:after="0"/>
              <w:rPr>
                <w:sz w:val="20"/>
                <w:szCs w:val="20"/>
                <w:color w:val="auto"/>
              </w:rPr>
            </w:pPr>
          </w:p>
        </w:tc>
        <w:tc>
          <w:tcPr>
            <w:tcW w:w="11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3E3E3"/>
            </w:tcBorders>
          </w:tcPr>
          <w:p>
            <w:pPr>
              <w:spacing w:after="0"/>
              <w:rPr>
                <w:sz w:val="20"/>
                <w:szCs w:val="20"/>
                <w:color w:val="auto"/>
              </w:rPr>
            </w:pPr>
          </w:p>
        </w:tc>
      </w:tr>
      <w:tr>
        <w:trPr>
          <w:trHeight w:val="230"/>
        </w:trPr>
        <w:tc>
          <w:tcPr>
            <w:tcW w:w="5950" w:type="dxa"/>
            <w:vAlign w:val="bottom"/>
            <w:shd w:val="clear" w:color="auto" w:fill="E3E3E3"/>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1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40"/>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(90,973)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(97,217)</w:t>
            </w:r>
          </w:p>
        </w:tc>
      </w:tr>
      <w:tr>
        <w:trPr>
          <w:trHeight w:val="235"/>
        </w:trPr>
        <w:tc>
          <w:tcPr>
            <w:tcW w:w="595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35"/>
        </w:trPr>
        <w:tc>
          <w:tcPr>
            <w:tcW w:w="5950" w:type="dxa"/>
            <w:vAlign w:val="bottom"/>
            <w:shd w:val="clear" w:color="auto" w:fill="E3E3E3"/>
          </w:tcPr>
          <w:p>
            <w:pPr>
              <w:ind w:left="360"/>
              <w:spacing w:after="0" w:line="228" w:lineRule="exact"/>
              <w:rPr>
                <w:sz w:val="20"/>
                <w:szCs w:val="20"/>
                <w:color w:val="auto"/>
              </w:rPr>
            </w:pPr>
            <w:r>
              <w:rPr>
                <w:rFonts w:ascii="Times New Roman" w:cs="Times New Roman" w:eastAsia="Times New Roman" w:hAnsi="Times New Roman"/>
                <w:sz w:val="20"/>
                <w:szCs w:val="20"/>
                <w:color w:val="auto"/>
              </w:rPr>
              <w:t>activities:</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Stock-based compensation</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4,586</w:t>
            </w:r>
          </w:p>
        </w:tc>
        <w:tc>
          <w:tcPr>
            <w:tcW w:w="100" w:type="dxa"/>
            <w:vAlign w:val="bottom"/>
          </w:tcPr>
          <w:p>
            <w:pPr>
              <w:spacing w:after="0"/>
              <w:rPr>
                <w:sz w:val="20"/>
                <w:szCs w:val="20"/>
                <w:color w:val="auto"/>
              </w:rPr>
            </w:pPr>
          </w:p>
        </w:tc>
      </w:tr>
      <w:tr>
        <w:trPr>
          <w:trHeight w:val="240"/>
        </w:trPr>
        <w:tc>
          <w:tcPr>
            <w:tcW w:w="5950" w:type="dxa"/>
            <w:vAlign w:val="bottom"/>
            <w:shd w:val="clear" w:color="auto" w:fill="E3E3E3"/>
          </w:tcPr>
          <w:p>
            <w:pPr>
              <w:ind w:left="360"/>
              <w:spacing w:after="0"/>
              <w:rPr>
                <w:sz w:val="20"/>
                <w:szCs w:val="20"/>
                <w:color w:val="auto"/>
              </w:rPr>
            </w:pPr>
            <w:r>
              <w:rPr>
                <w:rFonts w:ascii="Times New Roman" w:cs="Times New Roman" w:eastAsia="Times New Roman" w:hAnsi="Times New Roman"/>
                <w:sz w:val="20"/>
                <w:szCs w:val="20"/>
                <w:color w:val="auto"/>
              </w:rPr>
              <w:t>Gain from change in fair value of warrant liabilities</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(108,183)</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Depreciation</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w:t>
            </w:r>
          </w:p>
        </w:tc>
        <w:tc>
          <w:tcPr>
            <w:tcW w:w="100" w:type="dxa"/>
            <w:vAlign w:val="bottom"/>
          </w:tcPr>
          <w:p>
            <w:pPr>
              <w:spacing w:after="0"/>
              <w:rPr>
                <w:sz w:val="20"/>
                <w:szCs w:val="20"/>
                <w:color w:val="auto"/>
              </w:rPr>
            </w:pPr>
          </w:p>
        </w:tc>
      </w:tr>
      <w:tr>
        <w:trPr>
          <w:trHeight w:val="240"/>
        </w:trPr>
        <w:tc>
          <w:tcPr>
            <w:tcW w:w="5950" w:type="dxa"/>
            <w:vAlign w:val="bottom"/>
            <w:shd w:val="clear" w:color="auto" w:fill="E3E3E3"/>
          </w:tcPr>
          <w:p>
            <w:pPr>
              <w:ind w:left="360"/>
              <w:spacing w:after="0"/>
              <w:rPr>
                <w:sz w:val="20"/>
                <w:szCs w:val="20"/>
                <w:color w:val="auto"/>
              </w:rPr>
            </w:pPr>
            <w:r>
              <w:rPr>
                <w:rFonts w:ascii="Times New Roman" w:cs="Times New Roman" w:eastAsia="Times New Roman" w:hAnsi="Times New Roman"/>
                <w:sz w:val="20"/>
                <w:szCs w:val="20"/>
                <w:color w:val="auto"/>
              </w:rPr>
              <w:t>Amortization of intangible assets</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100" w:type="dxa"/>
            <w:vAlign w:val="bottom"/>
            <w:shd w:val="clear" w:color="auto" w:fill="E3E3E3"/>
          </w:tcPr>
          <w:p>
            <w:pPr>
              <w:spacing w:after="0"/>
              <w:rPr>
                <w:sz w:val="20"/>
                <w:szCs w:val="20"/>
                <w:color w:val="auto"/>
              </w:rPr>
            </w:pPr>
          </w:p>
        </w:tc>
      </w:tr>
      <w:tr>
        <w:trPr>
          <w:trHeight w:val="240"/>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950" w:type="dxa"/>
            <w:vAlign w:val="bottom"/>
            <w:shd w:val="clear" w:color="auto" w:fill="E3E3E3"/>
          </w:tcPr>
          <w:p>
            <w:pPr>
              <w:ind w:left="5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6,080</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1,714</w:t>
            </w:r>
          </w:p>
        </w:tc>
        <w:tc>
          <w:tcPr>
            <w:tcW w:w="100" w:type="dxa"/>
            <w:vAlign w:val="bottom"/>
            <w:shd w:val="clear" w:color="auto" w:fill="E3E3E3"/>
          </w:tcPr>
          <w:p>
            <w:pPr>
              <w:spacing w:after="0"/>
              <w:rPr>
                <w:sz w:val="20"/>
                <w:szCs w:val="20"/>
                <w:color w:val="auto"/>
              </w:rPr>
            </w:pPr>
          </w:p>
        </w:tc>
      </w:tr>
      <w:tr>
        <w:trPr>
          <w:trHeight w:val="237"/>
        </w:trPr>
        <w:tc>
          <w:tcPr>
            <w:tcW w:w="595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Operating lease right-of-use assets and liabilities</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r>
      <w:tr>
        <w:trPr>
          <w:trHeight w:val="241"/>
        </w:trPr>
        <w:tc>
          <w:tcPr>
            <w:tcW w:w="5950" w:type="dxa"/>
            <w:vAlign w:val="bottom"/>
            <w:shd w:val="clear" w:color="auto" w:fill="E3E3E3"/>
          </w:tcPr>
          <w:p>
            <w:pPr>
              <w:ind w:left="540"/>
              <w:spacing w:after="0"/>
              <w:rPr>
                <w:sz w:val="20"/>
                <w:szCs w:val="20"/>
                <w:color w:val="auto"/>
              </w:rPr>
            </w:pPr>
            <w:r>
              <w:rPr>
                <w:rFonts w:ascii="Times New Roman" w:cs="Times New Roman" w:eastAsia="Times New Roman" w:hAnsi="Times New Roman"/>
                <w:sz w:val="20"/>
                <w:szCs w:val="20"/>
                <w:color w:val="auto"/>
              </w:rPr>
              <w:t>Accounts payable and other accrued expenses</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33,993</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(2,919)</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6,896</w:t>
            </w:r>
          </w:p>
        </w:tc>
        <w:tc>
          <w:tcPr>
            <w:tcW w:w="100" w:type="dxa"/>
            <w:vAlign w:val="bottom"/>
            <w:shd w:val="clear" w:color="auto" w:fill="E3E3E3"/>
          </w:tcPr>
          <w:p>
            <w:pPr>
              <w:spacing w:after="0"/>
              <w:rPr>
                <w:sz w:val="20"/>
                <w:szCs w:val="20"/>
                <w:color w:val="auto"/>
              </w:rPr>
            </w:pPr>
          </w:p>
        </w:tc>
      </w:tr>
      <w:tr>
        <w:trPr>
          <w:trHeight w:val="240"/>
        </w:trPr>
        <w:tc>
          <w:tcPr>
            <w:tcW w:w="60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Accrued development expense</w:t>
            </w:r>
          </w:p>
        </w:tc>
        <w:tc>
          <w:tcPr>
            <w:tcW w:w="1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(2,076)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100" w:type="dxa"/>
            <w:vAlign w:val="bottom"/>
          </w:tcPr>
          <w:p>
            <w:pPr>
              <w:spacing w:after="0"/>
              <w:rPr>
                <w:sz w:val="20"/>
                <w:szCs w:val="20"/>
                <w:color w:val="auto"/>
              </w:rPr>
            </w:pPr>
          </w:p>
        </w:tc>
      </w:tr>
      <w:tr>
        <w:trPr>
          <w:trHeight w:val="240"/>
        </w:trPr>
        <w:tc>
          <w:tcPr>
            <w:tcW w:w="5950" w:type="dxa"/>
            <w:vAlign w:val="bottom"/>
            <w:shd w:val="clear" w:color="auto" w:fill="E3E3E3"/>
          </w:tcPr>
          <w:p>
            <w:pPr>
              <w:ind w:left="54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1,157</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shd w:val="clear" w:color="auto" w:fill="E3E3E3"/>
          </w:tcPr>
          <w:p>
            <w:pPr>
              <w:spacing w:after="0"/>
              <w:rPr>
                <w:sz w:val="20"/>
                <w:szCs w:val="20"/>
                <w:color w:val="auto"/>
              </w:rPr>
            </w:pPr>
          </w:p>
        </w:tc>
      </w:tr>
      <w:tr>
        <w:trPr>
          <w:trHeight w:val="245"/>
        </w:trPr>
        <w:tc>
          <w:tcPr>
            <w:tcW w:w="60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Other liabilities</w:t>
            </w:r>
          </w:p>
        </w:tc>
        <w:tc>
          <w:tcPr>
            <w:tcW w:w="10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(304)</w:t>
            </w:r>
          </w:p>
        </w:tc>
      </w:tr>
      <w:tr>
        <w:trPr>
          <w:trHeight w:val="242"/>
        </w:trPr>
        <w:tc>
          <w:tcPr>
            <w:tcW w:w="5950" w:type="dxa"/>
            <w:vAlign w:val="bottom"/>
            <w:tcBorders>
              <w:top w:val="single" w:sz="8" w:color="E3E3E3"/>
              <w:bottom w:val="single" w:sz="8" w:color="E3E3E3"/>
            </w:tcBorders>
            <w:shd w:val="clear" w:color="auto" w:fill="E3E3E3"/>
          </w:tcPr>
          <w:p>
            <w:pPr>
              <w:ind w:left="740"/>
              <w:spacing w:after="0" w:line="223"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10" w:type="dxa"/>
            <w:vAlign w:val="bottom"/>
            <w:tcBorders>
              <w:top w:val="single" w:sz="8" w:color="E3E3E3"/>
              <w:bottom w:val="single" w:sz="8" w:color="E3E3E3"/>
            </w:tcBorders>
            <w:shd w:val="clear" w:color="auto" w:fill="E3E3E3"/>
          </w:tcPr>
          <w:p>
            <w:pPr>
              <w:spacing w:after="0"/>
              <w:rPr>
                <w:sz w:val="21"/>
                <w:szCs w:val="21"/>
                <w:color w:val="auto"/>
              </w:rPr>
            </w:pPr>
          </w:p>
        </w:tc>
        <w:tc>
          <w:tcPr>
            <w:tcW w:w="100" w:type="dxa"/>
            <w:vAlign w:val="bottom"/>
            <w:tcBorders>
              <w:top w:val="single" w:sz="8" w:color="auto"/>
              <w:bottom w:val="single" w:sz="8" w:color="auto"/>
            </w:tcBorders>
            <w:shd w:val="clear" w:color="auto" w:fill="E3E3E3"/>
          </w:tcPr>
          <w:p>
            <w:pPr>
              <w:spacing w:after="0"/>
              <w:rPr>
                <w:sz w:val="21"/>
                <w:szCs w:val="21"/>
                <w:color w:val="auto"/>
              </w:rPr>
            </w:pPr>
          </w:p>
        </w:tc>
        <w:tc>
          <w:tcPr>
            <w:tcW w:w="1300" w:type="dxa"/>
            <w:vAlign w:val="bottom"/>
            <w:tcBorders>
              <w:top w:val="single" w:sz="8" w:color="auto"/>
              <w:bottom w:val="single" w:sz="8" w:color="auto"/>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(32,252)</w:t>
            </w:r>
          </w:p>
        </w:tc>
        <w:tc>
          <w:tcPr>
            <w:tcW w:w="100" w:type="dxa"/>
            <w:vAlign w:val="bottom"/>
            <w:tcBorders>
              <w:top w:val="single" w:sz="8" w:color="E3E3E3"/>
              <w:bottom w:val="single" w:sz="8" w:color="E3E3E3"/>
            </w:tcBorders>
            <w:shd w:val="clear" w:color="auto" w:fill="E3E3E3"/>
          </w:tcPr>
          <w:p>
            <w:pPr>
              <w:spacing w:after="0"/>
              <w:rPr>
                <w:sz w:val="21"/>
                <w:szCs w:val="21"/>
                <w:color w:val="auto"/>
              </w:rPr>
            </w:pPr>
          </w:p>
        </w:tc>
        <w:tc>
          <w:tcPr>
            <w:tcW w:w="120" w:type="dxa"/>
            <w:vAlign w:val="bottom"/>
            <w:tcBorders>
              <w:top w:val="single" w:sz="8" w:color="E3E3E3"/>
              <w:bottom w:val="single" w:sz="8" w:color="E3E3E3"/>
            </w:tcBorders>
            <w:shd w:val="clear" w:color="auto" w:fill="E3E3E3"/>
          </w:tcPr>
          <w:p>
            <w:pPr>
              <w:spacing w:after="0"/>
              <w:rPr>
                <w:sz w:val="21"/>
                <w:szCs w:val="21"/>
                <w:color w:val="auto"/>
              </w:rPr>
            </w:pPr>
          </w:p>
        </w:tc>
        <w:tc>
          <w:tcPr>
            <w:tcW w:w="100" w:type="dxa"/>
            <w:vAlign w:val="bottom"/>
            <w:tcBorders>
              <w:top w:val="single" w:sz="8" w:color="auto"/>
              <w:bottom w:val="single" w:sz="8" w:color="auto"/>
            </w:tcBorders>
            <w:shd w:val="clear" w:color="auto" w:fill="E3E3E3"/>
          </w:tcPr>
          <w:p>
            <w:pPr>
              <w:spacing w:after="0"/>
              <w:rPr>
                <w:sz w:val="21"/>
                <w:szCs w:val="21"/>
                <w:color w:val="auto"/>
              </w:rPr>
            </w:pPr>
          </w:p>
        </w:tc>
        <w:tc>
          <w:tcPr>
            <w:tcW w:w="1300" w:type="dxa"/>
            <w:vAlign w:val="bottom"/>
            <w:tcBorders>
              <w:top w:val="single" w:sz="8" w:color="auto"/>
              <w:bottom w:val="single" w:sz="8" w:color="auto"/>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(116,929)</w:t>
            </w:r>
          </w:p>
        </w:tc>
        <w:tc>
          <w:tcPr>
            <w:tcW w:w="20" w:type="dxa"/>
            <w:vAlign w:val="bottom"/>
            <w:tcBorders>
              <w:bottom w:val="single" w:sz="8" w:color="E3E3E3"/>
            </w:tcBorders>
          </w:tcPr>
          <w:p>
            <w:pPr>
              <w:spacing w:after="0"/>
              <w:rPr>
                <w:sz w:val="21"/>
                <w:szCs w:val="21"/>
                <w:color w:val="auto"/>
              </w:rPr>
            </w:pPr>
          </w:p>
        </w:tc>
        <w:tc>
          <w:tcPr>
            <w:tcW w:w="80" w:type="dxa"/>
            <w:vAlign w:val="bottom"/>
            <w:tcBorders>
              <w:top w:val="single" w:sz="8" w:color="E3E3E3"/>
              <w:bottom w:val="single" w:sz="8" w:color="E3E3E3"/>
            </w:tcBorders>
            <w:shd w:val="clear" w:color="auto" w:fill="E3E3E3"/>
          </w:tcPr>
          <w:p>
            <w:pPr>
              <w:spacing w:after="0"/>
              <w:rPr>
                <w:sz w:val="21"/>
                <w:szCs w:val="21"/>
                <w:color w:val="auto"/>
              </w:rPr>
            </w:pPr>
          </w:p>
        </w:tc>
        <w:tc>
          <w:tcPr>
            <w:tcW w:w="120" w:type="dxa"/>
            <w:vAlign w:val="bottom"/>
            <w:tcBorders>
              <w:top w:val="single" w:sz="8" w:color="E3E3E3"/>
              <w:bottom w:val="single" w:sz="8" w:color="E3E3E3"/>
            </w:tcBorders>
            <w:shd w:val="clear" w:color="auto" w:fill="E3E3E3"/>
          </w:tcPr>
          <w:p>
            <w:pPr>
              <w:spacing w:after="0"/>
              <w:rPr>
                <w:sz w:val="21"/>
                <w:szCs w:val="21"/>
                <w:color w:val="auto"/>
              </w:rPr>
            </w:pPr>
          </w:p>
        </w:tc>
        <w:tc>
          <w:tcPr>
            <w:tcW w:w="360" w:type="dxa"/>
            <w:vAlign w:val="bottom"/>
            <w:tcBorders>
              <w:top w:val="single" w:sz="8" w:color="auto"/>
              <w:bottom w:val="single" w:sz="8" w:color="auto"/>
            </w:tcBorders>
            <w:shd w:val="clear" w:color="auto" w:fill="E3E3E3"/>
          </w:tcPr>
          <w:p>
            <w:pPr>
              <w:spacing w:after="0"/>
              <w:rPr>
                <w:sz w:val="21"/>
                <w:szCs w:val="21"/>
                <w:color w:val="auto"/>
              </w:rPr>
            </w:pPr>
          </w:p>
        </w:tc>
        <w:tc>
          <w:tcPr>
            <w:tcW w:w="1040" w:type="dxa"/>
            <w:vAlign w:val="bottom"/>
            <w:tcBorders>
              <w:top w:val="single" w:sz="8" w:color="auto"/>
              <w:bottom w:val="single" w:sz="8" w:color="auto"/>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(82,025)</w:t>
            </w:r>
          </w:p>
        </w:tc>
        <w:tc>
          <w:tcPr>
            <w:tcW w:w="100" w:type="dxa"/>
            <w:vAlign w:val="bottom"/>
            <w:tcBorders>
              <w:top w:val="single" w:sz="8" w:color="E3E3E3"/>
              <w:bottom w:val="single" w:sz="8" w:color="E3E3E3"/>
            </w:tcBorders>
            <w:shd w:val="clear" w:color="auto" w:fill="E3E3E3"/>
          </w:tcPr>
          <w:p>
            <w:pPr>
              <w:spacing w:after="0"/>
              <w:rPr>
                <w:sz w:val="21"/>
                <w:szCs w:val="21"/>
                <w:color w:val="auto"/>
              </w:rPr>
            </w:pPr>
          </w:p>
        </w:tc>
      </w:tr>
      <w:tr>
        <w:trPr>
          <w:trHeight w:val="217"/>
        </w:trPr>
        <w:tc>
          <w:tcPr>
            <w:tcW w:w="5950" w:type="dxa"/>
            <w:vAlign w:val="bottom"/>
            <w:tcBorders>
              <w:bottom w:val="single" w:sz="8" w:color="E3E3E3"/>
            </w:tcBorders>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1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130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1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13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80" w:type="dxa"/>
            <w:vAlign w:val="bottom"/>
            <w:tcBorders>
              <w:bottom w:val="single" w:sz="8" w:color="E3E3E3"/>
            </w:tcBorders>
          </w:tcPr>
          <w:p>
            <w:pPr>
              <w:spacing w:after="0"/>
              <w:rPr>
                <w:sz w:val="18"/>
                <w:szCs w:val="18"/>
                <w:color w:val="auto"/>
              </w:rPr>
            </w:pPr>
          </w:p>
        </w:tc>
        <w:tc>
          <w:tcPr>
            <w:tcW w:w="120" w:type="dxa"/>
            <w:vAlign w:val="bottom"/>
            <w:tcBorders>
              <w:bottom w:val="single" w:sz="8" w:color="E3E3E3"/>
            </w:tcBorders>
          </w:tcPr>
          <w:p>
            <w:pPr>
              <w:spacing w:after="0"/>
              <w:rPr>
                <w:sz w:val="18"/>
                <w:szCs w:val="18"/>
                <w:color w:val="auto"/>
              </w:rPr>
            </w:pPr>
          </w:p>
        </w:tc>
        <w:tc>
          <w:tcPr>
            <w:tcW w:w="360" w:type="dxa"/>
            <w:vAlign w:val="bottom"/>
            <w:tcBorders>
              <w:bottom w:val="single" w:sz="8" w:color="E3E3E3"/>
            </w:tcBorders>
          </w:tcPr>
          <w:p>
            <w:pPr>
              <w:spacing w:after="0"/>
              <w:rPr>
                <w:sz w:val="18"/>
                <w:szCs w:val="18"/>
                <w:color w:val="auto"/>
              </w:rPr>
            </w:pPr>
          </w:p>
        </w:tc>
        <w:tc>
          <w:tcPr>
            <w:tcW w:w="104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r>
      <w:tr>
        <w:trPr>
          <w:trHeight w:val="238"/>
        </w:trPr>
        <w:tc>
          <w:tcPr>
            <w:tcW w:w="5950" w:type="dxa"/>
            <w:vAlign w:val="bottom"/>
            <w:tcBorders>
              <w:bottom w:val="single" w:sz="8" w:color="E3E3E3"/>
            </w:tcBorders>
            <w:shd w:val="clear" w:color="auto" w:fill="E3E3E3"/>
          </w:tcPr>
          <w:p>
            <w:pPr>
              <w:ind w:left="180"/>
              <w:spacing w:after="0" w:line="218" w:lineRule="exact"/>
              <w:rPr>
                <w:sz w:val="20"/>
                <w:szCs w:val="20"/>
                <w:color w:val="auto"/>
              </w:rPr>
            </w:pPr>
            <w:r>
              <w:rPr>
                <w:rFonts w:ascii="Times New Roman" w:cs="Times New Roman" w:eastAsia="Times New Roman" w:hAnsi="Times New Roman"/>
                <w:sz w:val="20"/>
                <w:szCs w:val="20"/>
                <w:color w:val="auto"/>
              </w:rPr>
              <w:t>Purchases of property and equipment</w:t>
            </w:r>
          </w:p>
        </w:tc>
        <w:tc>
          <w:tcPr>
            <w:tcW w:w="11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8" w:lineRule="exact"/>
              <w:rPr>
                <w:sz w:val="20"/>
                <w:szCs w:val="20"/>
                <w:color w:val="auto"/>
              </w:rPr>
            </w:pPr>
            <w:r>
              <w:rPr>
                <w:rFonts w:ascii="Times New Roman" w:cs="Times New Roman" w:eastAsia="Times New Roman" w:hAnsi="Times New Roman"/>
                <w:sz w:val="20"/>
                <w:szCs w:val="20"/>
                <w:color w:val="auto"/>
              </w:rPr>
              <w:t>(581)</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8" w:lineRule="exact"/>
              <w:rPr>
                <w:sz w:val="20"/>
                <w:szCs w:val="20"/>
                <w:color w:val="auto"/>
              </w:rPr>
            </w:pPr>
            <w:r>
              <w:rPr>
                <w:rFonts w:ascii="Times New Roman" w:cs="Times New Roman" w:eastAsia="Times New Roman" w:hAnsi="Times New Roman"/>
                <w:sz w:val="20"/>
                <w:szCs w:val="20"/>
                <w:color w:val="auto"/>
              </w:rPr>
              <w:t>(103)</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3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line="218" w:lineRule="exact"/>
              <w:rPr>
                <w:sz w:val="20"/>
                <w:szCs w:val="20"/>
                <w:color w:val="auto"/>
              </w:rPr>
            </w:pPr>
            <w:r>
              <w:rPr>
                <w:rFonts w:ascii="Times New Roman" w:cs="Times New Roman" w:eastAsia="Times New Roman" w:hAnsi="Times New Roman"/>
                <w:sz w:val="20"/>
                <w:szCs w:val="20"/>
                <w:color w:val="auto"/>
              </w:rPr>
              <w:t>(414)</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9"/>
        </w:trPr>
        <w:tc>
          <w:tcPr>
            <w:tcW w:w="5950" w:type="dxa"/>
            <w:vAlign w:val="bottom"/>
            <w:tcBorders>
              <w:bottom w:val="single" w:sz="8" w:color="E3E3E3"/>
            </w:tcBorders>
          </w:tcPr>
          <w:p>
            <w:pPr>
              <w:ind w:left="740"/>
              <w:spacing w:after="0" w:line="219"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110" w:type="dxa"/>
            <w:vAlign w:val="bottom"/>
            <w:tcBorders>
              <w:bottom w:val="single" w:sz="8" w:color="E3E3E3"/>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(581)</w:t>
            </w:r>
          </w:p>
        </w:tc>
        <w:tc>
          <w:tcPr>
            <w:tcW w:w="100" w:type="dxa"/>
            <w:vAlign w:val="bottom"/>
            <w:tcBorders>
              <w:top w:val="single" w:sz="8" w:color="E3E3E3"/>
              <w:bottom w:val="single" w:sz="8" w:color="E3E3E3"/>
            </w:tcBorders>
          </w:tcPr>
          <w:p>
            <w:pPr>
              <w:spacing w:after="0"/>
              <w:rPr>
                <w:sz w:val="19"/>
                <w:szCs w:val="19"/>
                <w:color w:val="auto"/>
              </w:rPr>
            </w:pPr>
          </w:p>
        </w:tc>
        <w:tc>
          <w:tcPr>
            <w:tcW w:w="120" w:type="dxa"/>
            <w:vAlign w:val="bottom"/>
            <w:tcBorders>
              <w:top w:val="single" w:sz="8" w:color="E3E3E3"/>
              <w:bottom w:val="single" w:sz="8" w:color="E3E3E3"/>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(103)</w:t>
            </w:r>
          </w:p>
        </w:tc>
        <w:tc>
          <w:tcPr>
            <w:tcW w:w="20" w:type="dxa"/>
            <w:vAlign w:val="bottom"/>
            <w:tcBorders>
              <w:top w:val="single" w:sz="8" w:color="E3E3E3"/>
            </w:tcBorders>
          </w:tcPr>
          <w:p>
            <w:pPr>
              <w:spacing w:after="0"/>
              <w:rPr>
                <w:sz w:val="19"/>
                <w:szCs w:val="19"/>
                <w:color w:val="auto"/>
              </w:rPr>
            </w:pPr>
          </w:p>
        </w:tc>
        <w:tc>
          <w:tcPr>
            <w:tcW w:w="80" w:type="dxa"/>
            <w:vAlign w:val="bottom"/>
            <w:tcBorders>
              <w:top w:val="single" w:sz="8" w:color="E3E3E3"/>
              <w:bottom w:val="single" w:sz="8" w:color="E3E3E3"/>
            </w:tcBorders>
          </w:tcPr>
          <w:p>
            <w:pPr>
              <w:spacing w:after="0"/>
              <w:rPr>
                <w:sz w:val="19"/>
                <w:szCs w:val="19"/>
                <w:color w:val="auto"/>
              </w:rPr>
            </w:pPr>
          </w:p>
        </w:tc>
        <w:tc>
          <w:tcPr>
            <w:tcW w:w="120" w:type="dxa"/>
            <w:vAlign w:val="bottom"/>
            <w:tcBorders>
              <w:top w:val="single" w:sz="8" w:color="E3E3E3"/>
              <w:bottom w:val="single" w:sz="8" w:color="E3E3E3"/>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(414)</w:t>
            </w:r>
          </w:p>
        </w:tc>
        <w:tc>
          <w:tcPr>
            <w:tcW w:w="100" w:type="dxa"/>
            <w:vAlign w:val="bottom"/>
            <w:tcBorders>
              <w:bottom w:val="single" w:sz="8" w:color="E3E3E3"/>
            </w:tcBorders>
          </w:tcPr>
          <w:p>
            <w:pPr>
              <w:spacing w:after="0"/>
              <w:rPr>
                <w:sz w:val="19"/>
                <w:szCs w:val="19"/>
                <w:color w:val="auto"/>
              </w:rPr>
            </w:pPr>
          </w:p>
        </w:tc>
      </w:tr>
      <w:tr>
        <w:trPr>
          <w:trHeight w:val="227"/>
        </w:trPr>
        <w:tc>
          <w:tcPr>
            <w:tcW w:w="5950" w:type="dxa"/>
            <w:vAlign w:val="bottom"/>
            <w:tcBorders>
              <w:bottom w:val="single" w:sz="8" w:color="E3E3E3"/>
            </w:tcBorders>
            <w:shd w:val="clear" w:color="auto" w:fill="E3E3E3"/>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1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30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30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120" w:type="dxa"/>
            <w:vAlign w:val="bottom"/>
            <w:tcBorders>
              <w:bottom w:val="single" w:sz="8" w:color="E3E3E3"/>
            </w:tcBorders>
            <w:shd w:val="clear" w:color="auto" w:fill="E3E3E3"/>
          </w:tcPr>
          <w:p>
            <w:pPr>
              <w:spacing w:after="0"/>
              <w:rPr>
                <w:sz w:val="19"/>
                <w:szCs w:val="19"/>
                <w:color w:val="auto"/>
              </w:rPr>
            </w:pPr>
          </w:p>
        </w:tc>
        <w:tc>
          <w:tcPr>
            <w:tcW w:w="360" w:type="dxa"/>
            <w:vAlign w:val="bottom"/>
            <w:tcBorders>
              <w:bottom w:val="single" w:sz="8" w:color="E3E3E3"/>
            </w:tcBorders>
            <w:shd w:val="clear" w:color="auto" w:fill="E3E3E3"/>
          </w:tcPr>
          <w:p>
            <w:pPr>
              <w:spacing w:after="0"/>
              <w:rPr>
                <w:sz w:val="19"/>
                <w:szCs w:val="19"/>
                <w:color w:val="auto"/>
              </w:rPr>
            </w:pPr>
          </w:p>
        </w:tc>
        <w:tc>
          <w:tcPr>
            <w:tcW w:w="104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r>
      <w:tr>
        <w:trPr>
          <w:trHeight w:val="202"/>
        </w:trPr>
        <w:tc>
          <w:tcPr>
            <w:tcW w:w="606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20"/>
                <w:szCs w:val="20"/>
                <w:color w:val="auto"/>
              </w:rPr>
              <w:t>Proceeds from issuance of common stock upon exercise of stock</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3"/>
        </w:trPr>
        <w:tc>
          <w:tcPr>
            <w:tcW w:w="60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options</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2,560</w:t>
            </w:r>
          </w:p>
        </w:tc>
        <w:tc>
          <w:tcPr>
            <w:tcW w:w="100" w:type="dxa"/>
            <w:vAlign w:val="bottom"/>
          </w:tcPr>
          <w:p>
            <w:pPr>
              <w:spacing w:after="0"/>
              <w:rPr>
                <w:sz w:val="22"/>
                <w:szCs w:val="22"/>
                <w:color w:val="auto"/>
              </w:rPr>
            </w:pPr>
          </w:p>
        </w:tc>
      </w:tr>
      <w:tr>
        <w:trPr>
          <w:trHeight w:val="235"/>
        </w:trPr>
        <w:tc>
          <w:tcPr>
            <w:tcW w:w="595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Proceeds from exercise of common stock warrants, net of exercise</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50"/>
        </w:trPr>
        <w:tc>
          <w:tcPr>
            <w:tcW w:w="595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costs</w:t>
            </w:r>
          </w:p>
        </w:tc>
        <w:tc>
          <w:tcPr>
            <w:tcW w:w="11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123,552</w:t>
            </w:r>
          </w:p>
        </w:tc>
        <w:tc>
          <w:tcPr>
            <w:tcW w:w="20" w:type="dxa"/>
            <w:vAlign w:val="bottom"/>
            <w:tcBorders>
              <w:bottom w:val="single" w:sz="8" w:color="E3E3E3"/>
            </w:tcBorders>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360" w:type="dxa"/>
            <w:vAlign w:val="bottom"/>
            <w:tcBorders>
              <w:bottom w:val="single" w:sz="8" w:color="E3E3E3"/>
            </w:tcBorders>
            <w:shd w:val="clear" w:color="auto" w:fill="E3E3E3"/>
          </w:tcPr>
          <w:p>
            <w:pPr>
              <w:spacing w:after="0"/>
              <w:rPr>
                <w:sz w:val="21"/>
                <w:szCs w:val="21"/>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04"/>
        </w:trPr>
        <w:tc>
          <w:tcPr>
            <w:tcW w:w="5950" w:type="dxa"/>
            <w:vAlign w:val="bottom"/>
            <w:tcBorders>
              <w:bottom w:val="single" w:sz="8" w:color="E3E3E3"/>
            </w:tcBorders>
          </w:tcPr>
          <w:p>
            <w:pPr>
              <w:ind w:left="180"/>
              <w:spacing w:after="0" w:line="204" w:lineRule="exact"/>
              <w:rPr>
                <w:sz w:val="20"/>
                <w:szCs w:val="20"/>
                <w:color w:val="auto"/>
              </w:rPr>
            </w:pPr>
            <w:r>
              <w:rPr>
                <w:rFonts w:ascii="Times New Roman" w:cs="Times New Roman" w:eastAsia="Times New Roman" w:hAnsi="Times New Roman"/>
                <w:sz w:val="20"/>
                <w:szCs w:val="20"/>
                <w:color w:val="auto"/>
              </w:rPr>
              <w:t>2025 ATM offering program costs</w:t>
            </w:r>
          </w:p>
        </w:tc>
        <w:tc>
          <w:tcPr>
            <w:tcW w:w="110" w:type="dxa"/>
            <w:vAlign w:val="bottom"/>
            <w:tcBorders>
              <w:bottom w:val="single" w:sz="8" w:color="E3E3E3"/>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(329)</w:t>
            </w:r>
          </w:p>
        </w:tc>
        <w:tc>
          <w:tcPr>
            <w:tcW w:w="100" w:type="dxa"/>
            <w:vAlign w:val="bottom"/>
            <w:tcBorders>
              <w:bottom w:val="single" w:sz="8" w:color="E3E3E3"/>
            </w:tcBorders>
          </w:tcPr>
          <w:p>
            <w:pPr>
              <w:spacing w:after="0"/>
              <w:rPr>
                <w:sz w:val="17"/>
                <w:szCs w:val="17"/>
                <w:color w:val="auto"/>
              </w:rPr>
            </w:pPr>
          </w:p>
        </w:tc>
        <w:tc>
          <w:tcPr>
            <w:tcW w:w="120" w:type="dxa"/>
            <w:vAlign w:val="bottom"/>
            <w:tcBorders>
              <w:bottom w:val="single" w:sz="8" w:color="E3E3E3"/>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80" w:type="dxa"/>
            <w:vAlign w:val="bottom"/>
            <w:tcBorders>
              <w:bottom w:val="single" w:sz="8" w:color="E3E3E3"/>
            </w:tcBorders>
          </w:tcPr>
          <w:p>
            <w:pPr>
              <w:spacing w:after="0"/>
              <w:rPr>
                <w:sz w:val="17"/>
                <w:szCs w:val="17"/>
                <w:color w:val="auto"/>
              </w:rPr>
            </w:pPr>
          </w:p>
        </w:tc>
        <w:tc>
          <w:tcPr>
            <w:tcW w:w="120" w:type="dxa"/>
            <w:vAlign w:val="bottom"/>
            <w:tcBorders>
              <w:bottom w:val="single" w:sz="8" w:color="E3E3E3"/>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tcPr>
          <w:p>
            <w:pPr>
              <w:spacing w:after="0"/>
              <w:rPr>
                <w:sz w:val="17"/>
                <w:szCs w:val="17"/>
                <w:color w:val="auto"/>
              </w:rPr>
            </w:pPr>
          </w:p>
        </w:tc>
      </w:tr>
      <w:tr>
        <w:trPr>
          <w:trHeight w:val="246"/>
        </w:trPr>
        <w:tc>
          <w:tcPr>
            <w:tcW w:w="5950" w:type="dxa"/>
            <w:vAlign w:val="bottom"/>
            <w:tcBorders>
              <w:bottom w:val="single" w:sz="8" w:color="E3E3E3"/>
            </w:tcBorders>
            <w:shd w:val="clear" w:color="auto" w:fill="E3E3E3"/>
          </w:tcPr>
          <w:p>
            <w:pPr>
              <w:ind w:left="740"/>
              <w:spacing w:after="0" w:line="226" w:lineRule="exact"/>
              <w:rPr>
                <w:sz w:val="20"/>
                <w:szCs w:val="20"/>
                <w:color w:val="auto"/>
              </w:rPr>
            </w:pPr>
            <w:r>
              <w:rPr>
                <w:rFonts w:ascii="Times New Roman" w:cs="Times New Roman" w:eastAsia="Times New Roman" w:hAnsi="Times New Roman"/>
                <w:sz w:val="20"/>
                <w:szCs w:val="20"/>
                <w:color w:val="auto"/>
              </w:rPr>
              <w:t>Net cash (used in) / provided by financing activities</w:t>
            </w:r>
          </w:p>
        </w:tc>
        <w:tc>
          <w:tcPr>
            <w:tcW w:w="11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1300" w:type="dxa"/>
            <w:vAlign w:val="bottom"/>
            <w:tcBorders>
              <w:bottom w:val="single" w:sz="8" w:color="auto"/>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(239)</w:t>
            </w:r>
          </w:p>
        </w:tc>
        <w:tc>
          <w:tcPr>
            <w:tcW w:w="10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1300" w:type="dxa"/>
            <w:vAlign w:val="bottom"/>
            <w:tcBorders>
              <w:bottom w:val="single" w:sz="8" w:color="auto"/>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124,470</w:t>
            </w:r>
          </w:p>
        </w:tc>
        <w:tc>
          <w:tcPr>
            <w:tcW w:w="20" w:type="dxa"/>
            <w:vAlign w:val="bottom"/>
            <w:tcBorders>
              <w:bottom w:val="single" w:sz="8" w:color="E3E3E3"/>
            </w:tcBorders>
          </w:tcPr>
          <w:p>
            <w:pPr>
              <w:spacing w:after="0"/>
              <w:rPr>
                <w:sz w:val="21"/>
                <w:szCs w:val="21"/>
                <w:color w:val="auto"/>
              </w:rPr>
            </w:pPr>
          </w:p>
        </w:tc>
        <w:tc>
          <w:tcPr>
            <w:tcW w:w="8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360" w:type="dxa"/>
            <w:vAlign w:val="bottom"/>
            <w:tcBorders>
              <w:bottom w:val="single" w:sz="8" w:color="auto"/>
            </w:tcBorders>
            <w:shd w:val="clear" w:color="auto" w:fill="E3E3E3"/>
          </w:tcPr>
          <w:p>
            <w:pPr>
              <w:spacing w:after="0"/>
              <w:rPr>
                <w:sz w:val="21"/>
                <w:szCs w:val="21"/>
                <w:color w:val="auto"/>
              </w:rPr>
            </w:pPr>
          </w:p>
        </w:tc>
        <w:tc>
          <w:tcPr>
            <w:tcW w:w="1040" w:type="dxa"/>
            <w:vAlign w:val="bottom"/>
            <w:tcBorders>
              <w:bottom w:val="single" w:sz="8" w:color="auto"/>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2,560</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22"/>
        </w:trPr>
        <w:tc>
          <w:tcPr>
            <w:tcW w:w="6060" w:type="dxa"/>
            <w:vAlign w:val="bottom"/>
            <w:tcBorders>
              <w:bottom w:val="single" w:sz="8" w:color="E3E3E3"/>
            </w:tcBorders>
            <w:gridSpan w:val="2"/>
          </w:tcPr>
          <w:p>
            <w:pPr>
              <w:spacing w:after="0" w:line="222" w:lineRule="exact"/>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(33,072)</w:t>
            </w: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7,438</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360" w:type="dxa"/>
            <w:vAlign w:val="bottom"/>
            <w:tcBorders>
              <w:bottom w:val="single" w:sz="8" w:color="E3E3E3"/>
            </w:tcBorders>
          </w:tcPr>
          <w:p>
            <w:pPr>
              <w:spacing w:after="0"/>
              <w:rPr>
                <w:sz w:val="19"/>
                <w:szCs w:val="19"/>
                <w:color w:val="auto"/>
              </w:rPr>
            </w:pPr>
          </w:p>
        </w:tc>
        <w:tc>
          <w:tcPr>
            <w:tcW w:w="1040" w:type="dxa"/>
            <w:vAlign w:val="bottom"/>
            <w:tcBorders>
              <w:bottom w:val="single" w:sz="8" w:color="E3E3E3"/>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(79,879)</w:t>
            </w:r>
          </w:p>
        </w:tc>
        <w:tc>
          <w:tcPr>
            <w:tcW w:w="100" w:type="dxa"/>
            <w:vAlign w:val="bottom"/>
            <w:tcBorders>
              <w:bottom w:val="single" w:sz="8" w:color="E3E3E3"/>
            </w:tcBorders>
          </w:tcPr>
          <w:p>
            <w:pPr>
              <w:spacing w:after="0"/>
              <w:rPr>
                <w:sz w:val="19"/>
                <w:szCs w:val="19"/>
                <w:color w:val="auto"/>
              </w:rPr>
            </w:pPr>
          </w:p>
        </w:tc>
      </w:tr>
      <w:tr>
        <w:trPr>
          <w:trHeight w:val="233"/>
        </w:trPr>
        <w:tc>
          <w:tcPr>
            <w:tcW w:w="5950" w:type="dxa"/>
            <w:vAlign w:val="bottom"/>
            <w:tcBorders>
              <w:bottom w:val="single" w:sz="8" w:color="E3E3E3"/>
            </w:tcBorders>
            <w:shd w:val="clear" w:color="auto" w:fill="E3E3E3"/>
          </w:tcPr>
          <w:p>
            <w:pPr>
              <w:spacing w:after="0" w:line="213" w:lineRule="exact"/>
              <w:rPr>
                <w:sz w:val="20"/>
                <w:szCs w:val="20"/>
                <w:color w:val="auto"/>
              </w:rPr>
            </w:pPr>
            <w:r>
              <w:rPr>
                <w:rFonts w:ascii="Times New Roman" w:cs="Times New Roman" w:eastAsia="Times New Roman" w:hAnsi="Times New Roman"/>
                <w:sz w:val="20"/>
                <w:szCs w:val="20"/>
                <w:color w:val="auto"/>
              </w:rPr>
              <w:t>Cash and cash equivalents at beginning of period</w:t>
            </w:r>
          </w:p>
        </w:tc>
        <w:tc>
          <w:tcPr>
            <w:tcW w:w="11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128,574</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121,136</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3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201,015</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9"/>
        </w:trPr>
        <w:tc>
          <w:tcPr>
            <w:tcW w:w="595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Cash and cash equivalents at end of period</w:t>
            </w:r>
          </w:p>
        </w:tc>
        <w:tc>
          <w:tcPr>
            <w:tcW w:w="110" w:type="dxa"/>
            <w:vAlign w:val="bottom"/>
          </w:tcPr>
          <w:p>
            <w:pPr>
              <w:spacing w:after="0"/>
              <w:rPr>
                <w:sz w:val="19"/>
                <w:szCs w:val="19"/>
                <w:color w:val="auto"/>
              </w:rPr>
            </w:pPr>
          </w:p>
        </w:tc>
        <w:tc>
          <w:tcPr>
            <w:tcW w:w="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95,502</w:t>
            </w:r>
          </w:p>
        </w:tc>
        <w:tc>
          <w:tcPr>
            <w:tcW w:w="100" w:type="dxa"/>
            <w:vAlign w:val="bottom"/>
            <w:tcBorders>
              <w:top w:val="single" w:sz="8" w:color="E3E3E3"/>
            </w:tcBorders>
          </w:tcPr>
          <w:p>
            <w:pPr>
              <w:spacing w:after="0"/>
              <w:rPr>
                <w:sz w:val="19"/>
                <w:szCs w:val="19"/>
                <w:color w:val="auto"/>
              </w:rPr>
            </w:pPr>
          </w:p>
        </w:tc>
        <w:tc>
          <w:tcPr>
            <w:tcW w:w="12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128,574</w:t>
            </w:r>
          </w:p>
        </w:tc>
        <w:tc>
          <w:tcPr>
            <w:tcW w:w="20" w:type="dxa"/>
            <w:vAlign w:val="bottom"/>
            <w:tcBorders>
              <w:top w:val="single" w:sz="8" w:color="E3E3E3"/>
            </w:tcBorders>
          </w:tcPr>
          <w:p>
            <w:pPr>
              <w:spacing w:after="0"/>
              <w:rPr>
                <w:sz w:val="19"/>
                <w:szCs w:val="19"/>
                <w:color w:val="auto"/>
              </w:rPr>
            </w:pPr>
          </w:p>
        </w:tc>
        <w:tc>
          <w:tcPr>
            <w:tcW w:w="80" w:type="dxa"/>
            <w:vAlign w:val="bottom"/>
            <w:tcBorders>
              <w:top w:val="single" w:sz="8" w:color="E3E3E3"/>
            </w:tcBorders>
          </w:tcPr>
          <w:p>
            <w:pPr>
              <w:spacing w:after="0"/>
              <w:rPr>
                <w:sz w:val="19"/>
                <w:szCs w:val="19"/>
                <w:color w:val="auto"/>
              </w:rPr>
            </w:pPr>
          </w:p>
        </w:tc>
        <w:tc>
          <w:tcPr>
            <w:tcW w:w="120" w:type="dxa"/>
            <w:vAlign w:val="bottom"/>
            <w:tcBorders>
              <w:top w:val="single" w:sz="8" w:color="E3E3E3"/>
            </w:tcBorders>
          </w:tcPr>
          <w:p>
            <w:pPr>
              <w:spacing w:after="0"/>
              <w:rPr>
                <w:sz w:val="19"/>
                <w:szCs w:val="19"/>
                <w:color w:val="auto"/>
              </w:rPr>
            </w:pPr>
          </w:p>
        </w:tc>
        <w:tc>
          <w:tcPr>
            <w:tcW w:w="360" w:type="dxa"/>
            <w:vAlign w:val="bottom"/>
            <w:tcBorders>
              <w:top w:val="single" w:sz="8" w:color="auto"/>
            </w:tcBorders>
          </w:tcPr>
          <w:p>
            <w:pPr>
              <w:jc w:val="right"/>
              <w:ind w:right="16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121,136</w:t>
            </w:r>
          </w:p>
        </w:tc>
        <w:tc>
          <w:tcPr>
            <w:tcW w:w="100" w:type="dxa"/>
            <w:vAlign w:val="bottom"/>
          </w:tcPr>
          <w:p>
            <w:pPr>
              <w:spacing w:after="0"/>
              <w:rPr>
                <w:sz w:val="19"/>
                <w:szCs w:val="19"/>
                <w:color w:val="auto"/>
              </w:rPr>
            </w:pPr>
          </w:p>
        </w:tc>
      </w:tr>
      <w:tr>
        <w:trPr>
          <w:trHeight w:val="60"/>
        </w:trPr>
        <w:tc>
          <w:tcPr>
            <w:tcW w:w="6060" w:type="dxa"/>
            <w:vAlign w:val="bottom"/>
            <w:tcBorders>
              <w:bottom w:val="single" w:sz="8" w:color="E3E3E3"/>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3E3E3"/>
            </w:tcBorders>
          </w:tcPr>
          <w:p>
            <w:pPr>
              <w:spacing w:after="0"/>
              <w:rPr>
                <w:sz w:val="5"/>
                <w:szCs w:val="5"/>
                <w:color w:val="auto"/>
              </w:rPr>
            </w:pPr>
          </w:p>
        </w:tc>
        <w:tc>
          <w:tcPr>
            <w:tcW w:w="120" w:type="dxa"/>
            <w:vAlign w:val="bottom"/>
            <w:tcBorders>
              <w:bottom w:val="single" w:sz="8" w:color="E3E3E3"/>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E3E3E3"/>
            </w:tcBorders>
          </w:tcPr>
          <w:p>
            <w:pPr>
              <w:spacing w:after="0"/>
              <w:rPr>
                <w:sz w:val="5"/>
                <w:szCs w:val="5"/>
                <w:color w:val="auto"/>
              </w:rPr>
            </w:pPr>
          </w:p>
        </w:tc>
        <w:tc>
          <w:tcPr>
            <w:tcW w:w="120" w:type="dxa"/>
            <w:vAlign w:val="bottom"/>
            <w:tcBorders>
              <w:bottom w:val="single" w:sz="8" w:color="E3E3E3"/>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E3E3E3"/>
            </w:tcBorders>
          </w:tcPr>
          <w:p>
            <w:pPr>
              <w:spacing w:after="0"/>
              <w:rPr>
                <w:sz w:val="5"/>
                <w:szCs w:val="5"/>
                <w:color w:val="auto"/>
              </w:rPr>
            </w:pPr>
          </w:p>
        </w:tc>
      </w:tr>
      <w:tr>
        <w:trPr>
          <w:trHeight w:val="218"/>
        </w:trPr>
        <w:tc>
          <w:tcPr>
            <w:tcW w:w="5950" w:type="dxa"/>
            <w:vAlign w:val="bottom"/>
            <w:shd w:val="clear" w:color="auto" w:fill="E3E3E3"/>
          </w:tcPr>
          <w:p>
            <w:pPr>
              <w:spacing w:after="0"/>
              <w:rPr>
                <w:sz w:val="18"/>
                <w:szCs w:val="18"/>
                <w:color w:val="auto"/>
              </w:rPr>
            </w:pPr>
          </w:p>
        </w:tc>
        <w:tc>
          <w:tcPr>
            <w:tcW w:w="11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30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2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300" w:type="dxa"/>
            <w:vAlign w:val="bottom"/>
            <w:shd w:val="clear" w:color="auto" w:fill="E3E3E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360" w:type="dxa"/>
            <w:vAlign w:val="bottom"/>
            <w:tcBorders>
              <w:bottom w:val="single" w:sz="8" w:color="E3E3E3"/>
            </w:tcBorders>
            <w:shd w:val="clear" w:color="auto" w:fill="E3E3E3"/>
          </w:tcPr>
          <w:p>
            <w:pPr>
              <w:spacing w:after="0"/>
              <w:rPr>
                <w:sz w:val="18"/>
                <w:szCs w:val="18"/>
                <w:color w:val="auto"/>
              </w:rPr>
            </w:pPr>
          </w:p>
        </w:tc>
        <w:tc>
          <w:tcPr>
            <w:tcW w:w="104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r>
      <w:tr>
        <w:trPr>
          <w:trHeight w:val="218"/>
        </w:trPr>
        <w:tc>
          <w:tcPr>
            <w:tcW w:w="595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Supplemental cash flow information:</w:t>
            </w:r>
          </w:p>
        </w:tc>
        <w:tc>
          <w:tcPr>
            <w:tcW w:w="11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Non-cash financing activities</w:t>
            </w:r>
          </w:p>
        </w:tc>
        <w:tc>
          <w:tcPr>
            <w:tcW w:w="11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35"/>
        </w:trPr>
        <w:tc>
          <w:tcPr>
            <w:tcW w:w="5950" w:type="dxa"/>
            <w:vAlign w:val="bottom"/>
          </w:tcPr>
          <w:p>
            <w:pPr>
              <w:spacing w:after="0"/>
              <w:rPr>
                <w:sz w:val="20"/>
                <w:szCs w:val="20"/>
                <w:color w:val="auto"/>
              </w:rPr>
            </w:pPr>
            <w:r>
              <w:rPr>
                <w:rFonts w:ascii="Times New Roman" w:cs="Times New Roman" w:eastAsia="Times New Roman" w:hAnsi="Times New Roman"/>
                <w:sz w:val="20"/>
                <w:szCs w:val="20"/>
                <w:color w:val="auto"/>
              </w:rPr>
              <w:t>Issuance of warrants resulting in recognition of warrant liabilities</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113,363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Derecognition of warrant liabilities upon exercise of warrants</w:t>
            </w:r>
          </w:p>
        </w:tc>
        <w:tc>
          <w:tcPr>
            <w:tcW w:w="11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(5,180)</w:t>
            </w:r>
          </w:p>
        </w:tc>
        <w:tc>
          <w:tcPr>
            <w:tcW w:w="20" w:type="dxa"/>
            <w:vAlign w:val="bottom"/>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5763260</wp:posOffset>
                </wp:positionH>
                <wp:positionV relativeFrom="paragraph">
                  <wp:posOffset>-3736975</wp:posOffset>
                </wp:positionV>
                <wp:extent cx="109855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294.2499pt" to="540.3pt,-294.2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-2810510</wp:posOffset>
                </wp:positionV>
                <wp:extent cx="383984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1.2999pt" to="302.55pt,-22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4735830</wp:posOffset>
                </wp:positionH>
                <wp:positionV relativeFrom="paragraph">
                  <wp:posOffset>-2810510</wp:posOffset>
                </wp:positionV>
                <wp:extent cx="13525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pt,-221.2999pt" to="383.55pt,-22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-2810510</wp:posOffset>
                </wp:positionV>
                <wp:extent cx="13716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221.2999pt" to="464.6pt,-22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-2810510</wp:posOffset>
                </wp:positionV>
                <wp:extent cx="6858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221.2999pt" to="540.3pt,-221.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-2658110</wp:posOffset>
                </wp:positionV>
                <wp:extent cx="109855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209.2999pt" to="540.3pt,-209.29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4735830</wp:posOffset>
                </wp:positionH>
                <wp:positionV relativeFrom="paragraph">
                  <wp:posOffset>-2496185</wp:posOffset>
                </wp:positionV>
                <wp:extent cx="13525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pt,-196.5499pt" to="383.55pt,-196.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-2496185</wp:posOffset>
                </wp:positionV>
                <wp:extent cx="13716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196.5499pt" to="464.6pt,-196.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-2340610</wp:posOffset>
                </wp:positionV>
                <wp:extent cx="685927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191">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84.2999pt" to="540.3pt,-184.2999pt" o:allowincell="f" strokecolor="#FFFFFF" strokeweight="0.95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-1583690</wp:posOffset>
                </wp:positionV>
                <wp:extent cx="685927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24.6999pt" to="540.3pt,-124.69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-1430655</wp:posOffset>
                </wp:positionV>
                <wp:extent cx="685927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12191">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12.6499pt" to="540.3pt,-112.6499pt" o:allowincell="f" strokecolor="#FFFFFF" strokeweight="0.95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-1266190</wp:posOffset>
                </wp:positionV>
                <wp:extent cx="383984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9.6999pt" to="302.55pt,-99.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4735830</wp:posOffset>
                </wp:positionH>
                <wp:positionV relativeFrom="paragraph">
                  <wp:posOffset>-1266190</wp:posOffset>
                </wp:positionV>
                <wp:extent cx="13525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pt,-99.6999pt" to="383.55pt,-99.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-1266190</wp:posOffset>
                </wp:positionV>
                <wp:extent cx="13716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99.6999pt" to="464.6pt,-99.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-1266190</wp:posOffset>
                </wp:positionV>
                <wp:extent cx="6858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99.6999pt" to="540.3pt,-99.6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4735830</wp:posOffset>
                </wp:positionH>
                <wp:positionV relativeFrom="paragraph">
                  <wp:posOffset>-952500</wp:posOffset>
                </wp:positionV>
                <wp:extent cx="13525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9pt,-75pt" to="383.55pt,-7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-952500</wp:posOffset>
                </wp:positionV>
                <wp:extent cx="13716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75pt" to="464.6pt,-75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-786765</wp:posOffset>
                </wp:positionV>
                <wp:extent cx="685927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1.9499pt" to="540.3pt,-61.94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-607695</wp:posOffset>
                </wp:positionV>
                <wp:extent cx="109855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47.8499pt" to="540.3pt,-47.8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-302895</wp:posOffset>
                </wp:positionV>
                <wp:extent cx="109855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23.8499pt" to="540.3pt,-23.8499pt" o:allowincell="f" strokecolor="#FFFFFF" strokeweight="0.24pt"/>
            </w:pict>
          </mc:Fallback>
        </mc:AlternateConten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88 / 117</w:t>
      </w:r>
    </w:p>
    <w:p>
      <w:pPr>
        <w:sectPr>
          <w:pgSz w:w="12240" w:h="15840" w:orient="portrait"/>
          <w:cols w:equalWidth="0" w:num="1">
            <w:col w:w="10800"/>
          </w:cols>
          <w:pgMar w:left="720" w:top="1060" w:right="720" w:bottom="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FILANA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General, Liquidity and Basis of Presentation</w:t>
      </w:r>
    </w:p>
    <w:p>
      <w:pPr>
        <w:spacing w:after="0" w:line="235"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Filana Therapeutics, Inc. (formerly Cassava Sciences, Inc.) and its wholly-owned subsidiary (collectively referred to as the “Company”) discovers and develops proprietary pharmaceutical product candidates that may offer significant improvements to patients and healthcare professionals. The Company generally focuses its discovery and product development efforts on disorders of the nervous system.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Consolidation</w:t>
      </w:r>
    </w:p>
    <w:p>
      <w:pPr>
        <w:spacing w:after="0" w:line="231"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subsidiary. All intercompany transactions have been eliminated in consolidation.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231"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The Company has incurred significant net losses and negative cash flows since inception, and as a result has an accumulated deficit of $496.1 million at December 31, 2025. The Company expects its cash requirements to be significant in the future. The amount and timing of the Company’s future cash requirements will depend on regulatory and market acceptance of its product candidates and the resources it devotes to researching and developing, formulating, manufacturing, commercializing and supporting its products. The Company may seek additional funding through public or private financing in the future, if such funding is available and on terms acceptable to the Company. There are no assurances that additional financing will be available on favorable terms, or at all. However, management believes that the current working capital position will be sufficient to meet the Company’s working capital needs for at least the next 12 months.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2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 makes estimates and assumptions in preparing its consolidated financial statements in conformity with accounting principles generally accepted in the United States. These estimates and assumptions affect the reported amounts of assets and liabilities and disclosure of contingent assets and liabilities at the date of the consolidated financial statements and the reported amount of expenses incurred during the reporting period. The Company evaluates its estimates on an ongoing basis, including those estimates related to legal liabilities, common stock warrant liabilities, stock -based compensation, clinical trials and manufacturing agreements. Actual results could differ from these estimates and assumptions.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 and Concentration of Credit Risk</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Company invests in cash and cash equivalents. The Company considers highly-liquid financial instruments with original maturities of three months or less to be cash equivalents. Highly liquid investments that are considered cash equivalents include money market accounts and funds, certificates of deposit and U.S. Treasury securities. The Company maintains its cash and cash equivalents at one financial institution.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89 / 117</w:t>
      </w:r>
    </w:p>
    <w:p>
      <w:pPr>
        <w:sectPr>
          <w:pgSz w:w="12240" w:h="15840" w:orient="portrait"/>
          <w:cols w:equalWidth="0" w:num="1">
            <w:col w:w="10800"/>
          </w:cols>
          <w:pgMar w:left="720" w:top="784" w:right="720" w:bottom="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28"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The Company recognizes financial instruments in accordance with the authoritative guidance on fair value measurements and disclosures for financial assets and liabilities. This guidance defines fair value, establishes a framework for measuring fair value in accordance with GAAP, and expands disclosures about fair value measurements. The guidance also establishes a three-tier fair value hierarchy, which prioritizes the inputs used in measuring fair value. These tiers include:</w:t>
      </w:r>
    </w:p>
    <w:p>
      <w:pPr>
        <w:spacing w:after="0" w:line="191" w:lineRule="exact"/>
        <w:rPr>
          <w:sz w:val="20"/>
          <w:szCs w:val="20"/>
          <w:color w:val="auto"/>
        </w:rPr>
      </w:pPr>
    </w:p>
    <w:p>
      <w:pPr>
        <w:ind w:left="760" w:hanging="370"/>
        <w:spacing w:after="0"/>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includes quoted prices in active markets.</w:t>
      </w:r>
    </w:p>
    <w:p>
      <w:pPr>
        <w:spacing w:after="0" w:line="55" w:lineRule="exact"/>
        <w:rPr>
          <w:rFonts w:ascii="Times New Roman" w:cs="Times New Roman" w:eastAsia="Times New Roman" w:hAnsi="Times New Roman"/>
          <w:sz w:val="20"/>
          <w:szCs w:val="20"/>
          <w:color w:val="auto"/>
        </w:rPr>
      </w:pPr>
    </w:p>
    <w:p>
      <w:pPr>
        <w:jc w:val="both"/>
        <w:ind w:left="760" w:hanging="370"/>
        <w:spacing w:after="0" w:line="248" w:lineRule="auto"/>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includes significant observable inputs, such as quoted prices for identical or similar securities, or other inputs that are observable and can be corroborated by observable market data for similar securities. The Company uses market pricing and other observable market inputs obtained from third-party providers. It uses the bid price to establish fair value where a bid price is available. The Company does not have any financial instruments where the fair value is based on Level 2 inputs.</w:t>
      </w:r>
    </w:p>
    <w:p>
      <w:pPr>
        <w:spacing w:after="0" w:line="3" w:lineRule="exact"/>
        <w:rPr>
          <w:rFonts w:ascii="Times New Roman" w:cs="Times New Roman" w:eastAsia="Times New Roman" w:hAnsi="Times New Roman"/>
          <w:sz w:val="20"/>
          <w:szCs w:val="20"/>
          <w:color w:val="auto"/>
        </w:rPr>
      </w:pPr>
    </w:p>
    <w:p>
      <w:pPr>
        <w:ind w:left="760" w:right="20" w:hanging="370"/>
        <w:spacing w:after="0" w:line="250" w:lineRule="auto"/>
        <w:tabs>
          <w:tab w:leader="none" w:pos="7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includes unobservable inputs that are supported by little or no market activity. The Company does not have any financial instruments where the fair value is based on Level 3 inputs.</w:t>
      </w:r>
    </w:p>
    <w:p>
      <w:pPr>
        <w:spacing w:after="0" w:line="191"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If a financial instrument uses inputs that fall in different levels of the hierarchy, the instrument will be categorized based upon the lowest level of input that is significant to the fair value calculation. The fair value of cash and cash equivalents was based on Level 1 inputs at December 31, 2025 and 2024.</w:t>
      </w:r>
    </w:p>
    <w:p>
      <w:pPr>
        <w:spacing w:after="0" w:line="1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fair value of common stock warrants of $6.71 per warrant was determined at distribution on January 3, 2024 using a Monte Carlo valuation model since the warrants were not traded on the open market on January 3, 2024. Warrant trading on Nasdaq began on January 4, 2024. Quantitative information regarding Level 3 fair value measurements for common stock warrants were as follows: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923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Exercise price per warrant</w:t>
            </w:r>
          </w:p>
        </w:tc>
        <w:tc>
          <w:tcPr>
            <w:tcW w:w="13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E3E3E3"/>
              </w:rPr>
              <w:t>$</w:t>
            </w:r>
          </w:p>
        </w:tc>
        <w:tc>
          <w:tcPr>
            <w:tcW w:w="144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33.00</w:t>
            </w:r>
          </w:p>
        </w:tc>
      </w:tr>
      <w:tr>
        <w:trPr>
          <w:trHeight w:val="240"/>
        </w:trPr>
        <w:tc>
          <w:tcPr>
            <w:tcW w:w="9230" w:type="dxa"/>
            <w:vAlign w:val="bottom"/>
          </w:tcPr>
          <w:p>
            <w:pPr>
              <w:spacing w:after="0"/>
              <w:rPr>
                <w:sz w:val="20"/>
                <w:szCs w:val="20"/>
                <w:color w:val="auto"/>
              </w:rPr>
            </w:pPr>
            <w:r>
              <w:rPr>
                <w:rFonts w:ascii="Times New Roman" w:cs="Times New Roman" w:eastAsia="Times New Roman" w:hAnsi="Times New Roman"/>
                <w:sz w:val="20"/>
                <w:szCs w:val="20"/>
                <w:color w:val="auto"/>
              </w:rPr>
              <w:t>Conversion rate - common shares per warrant</w:t>
            </w:r>
          </w:p>
        </w:tc>
        <w:tc>
          <w:tcPr>
            <w:tcW w:w="130" w:type="dxa"/>
            <w:vAlign w:val="bottom"/>
          </w:tcPr>
          <w:p>
            <w:pPr>
              <w:spacing w:after="0"/>
              <w:rPr>
                <w:sz w:val="20"/>
                <w:szCs w:val="20"/>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1.50</w:t>
            </w:r>
          </w:p>
        </w:tc>
      </w:tr>
      <w:tr>
        <w:trPr>
          <w:trHeight w:val="240"/>
        </w:trPr>
        <w:tc>
          <w:tcPr>
            <w:tcW w:w="923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Closing price of common stock</w:t>
            </w:r>
          </w:p>
        </w:tc>
        <w:tc>
          <w:tcPr>
            <w:tcW w:w="13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E3E3E3"/>
              </w:rPr>
              <w:t>$</w:t>
            </w:r>
          </w:p>
        </w:tc>
        <w:tc>
          <w:tcPr>
            <w:tcW w:w="144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23.72</w:t>
            </w:r>
          </w:p>
        </w:tc>
      </w:tr>
      <w:tr>
        <w:trPr>
          <w:trHeight w:val="240"/>
        </w:trPr>
        <w:tc>
          <w:tcPr>
            <w:tcW w:w="9230" w:type="dxa"/>
            <w:vAlign w:val="bottom"/>
          </w:tcPr>
          <w:p>
            <w:pPr>
              <w:spacing w:after="0"/>
              <w:rPr>
                <w:sz w:val="20"/>
                <w:szCs w:val="20"/>
                <w:color w:val="auto"/>
              </w:rPr>
            </w:pPr>
            <w:r>
              <w:rPr>
                <w:rFonts w:ascii="Times New Roman" w:cs="Times New Roman" w:eastAsia="Times New Roman" w:hAnsi="Times New Roman"/>
                <w:sz w:val="20"/>
                <w:szCs w:val="20"/>
                <w:color w:val="auto"/>
              </w:rPr>
              <w:t>Volatility</w:t>
            </w:r>
          </w:p>
        </w:tc>
        <w:tc>
          <w:tcPr>
            <w:tcW w:w="13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40"/>
        </w:trPr>
        <w:tc>
          <w:tcPr>
            <w:tcW w:w="923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30" w:type="dxa"/>
            <w:vAlign w:val="bottom"/>
            <w:shd w:val="clear" w:color="auto" w:fill="E3E3E3"/>
          </w:tcPr>
          <w:p>
            <w:pPr>
              <w:spacing w:after="0"/>
              <w:rPr>
                <w:sz w:val="20"/>
                <w:szCs w:val="20"/>
                <w:color w:val="auto"/>
              </w:rPr>
            </w:pPr>
          </w:p>
        </w:tc>
        <w:tc>
          <w:tcPr>
            <w:tcW w:w="14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5.40%</w:t>
            </w:r>
          </w:p>
        </w:tc>
      </w:tr>
      <w:tr>
        <w:trPr>
          <w:trHeight w:val="240"/>
        </w:trPr>
        <w:tc>
          <w:tcPr>
            <w:tcW w:w="9230" w:type="dxa"/>
            <w:vAlign w:val="bottom"/>
          </w:tcPr>
          <w:p>
            <w:pPr>
              <w:spacing w:after="0"/>
              <w:rPr>
                <w:sz w:val="20"/>
                <w:szCs w:val="20"/>
                <w:color w:val="auto"/>
              </w:rPr>
            </w:pPr>
            <w:r>
              <w:rPr>
                <w:rFonts w:ascii="Times New Roman" w:cs="Times New Roman" w:eastAsia="Times New Roman" w:hAnsi="Times New Roman"/>
                <w:sz w:val="20"/>
                <w:szCs w:val="20"/>
                <w:color w:val="auto"/>
              </w:rPr>
              <w:t>Expected life of option (in years)</w:t>
            </w:r>
          </w:p>
        </w:tc>
        <w:tc>
          <w:tcPr>
            <w:tcW w:w="130" w:type="dxa"/>
            <w:vAlign w:val="bottom"/>
          </w:tcPr>
          <w:p>
            <w:pPr>
              <w:spacing w:after="0"/>
              <w:rPr>
                <w:sz w:val="20"/>
                <w:szCs w:val="20"/>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0.3</w:t>
            </w:r>
          </w:p>
        </w:tc>
      </w:tr>
      <w:tr>
        <w:trPr>
          <w:trHeight w:val="240"/>
        </w:trPr>
        <w:tc>
          <w:tcPr>
            <w:tcW w:w="923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30" w:type="dxa"/>
            <w:vAlign w:val="bottom"/>
            <w:shd w:val="clear" w:color="auto" w:fill="E3E3E3"/>
          </w:tcPr>
          <w:p>
            <w:pPr>
              <w:spacing w:after="0"/>
              <w:rPr>
                <w:sz w:val="20"/>
                <w:szCs w:val="20"/>
                <w:color w:val="auto"/>
              </w:rPr>
            </w:pPr>
          </w:p>
        </w:tc>
        <w:tc>
          <w:tcPr>
            <w:tcW w:w="144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auto"/>
              </w:rPr>
              <w:t>zero</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5957570</wp:posOffset>
                </wp:positionH>
                <wp:positionV relativeFrom="paragraph">
                  <wp:posOffset>-452120</wp:posOffset>
                </wp:positionV>
                <wp:extent cx="801370" cy="14478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1370" cy="144780"/>
                        </a:xfrm>
                        <a:prstGeom prst="rect">
                          <a:avLst/>
                        </a:prstGeom>
                        <a:solidFill>
                          <a:srgbClr val="E3E3E3"/>
                        </a:solidFill>
                      </wps:spPr>
                      <wps:bodyPr/>
                    </wps:wsp>
                  </a:graphicData>
                </a:graphic>
              </wp:anchor>
            </w:drawing>
          </mc:Choice>
          <mc:Fallback>
            <w:pict>
              <v:rect id="Shape 67" o:spid="_x0000_s1092" style="position:absolute;margin-left:469.1pt;margin-top:-35.5999pt;width:63.1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9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common stock warrants stopped trading on Nasdaq after May 2, 2024 and subsequently had little or no market activity. As of May 7, 2024, the warrants were presumed to have no value since they were redeemed for a nominal payment of $0.001 per warrant.</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Business Segments</w:t>
      </w:r>
    </w:p>
    <w:p>
      <w:pPr>
        <w:spacing w:after="0" w:line="228"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The Company reports segment information based on how it internally evaluates the operating performance of its business units, or segments. The Company’s operations are confined to one business segment: the development of novel drugs and diagnostics.</w:t>
      </w:r>
    </w:p>
    <w:p>
      <w:pPr>
        <w:spacing w:after="0" w:line="160"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Company’s reportable segment reflects the manner in which its chief operating decision maker (“CODM”) allocates resources and assesses performance. The Company's CODM is the President and Chief Executive Officer. The primary measure used by the Company's CODM for purposes of allocating resources is based on net loss that also is reported on the consolidated statements of operations as consolidated net loss. The measure of segment assets is reported on the consolidated balance sheets as cash and cash equivalents.</w:t>
      </w:r>
    </w:p>
    <w:p>
      <w:pPr>
        <w:spacing w:after="0" w:line="187"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The Company has not generated any product revenue in the current period and expects to continue to incur significant expenses and operating losses for the foreseeable future as we advance our product candidates through stages of development and clinical trials.</w:t>
      </w:r>
    </w:p>
    <w:p>
      <w:pPr>
        <w:spacing w:after="0" w:line="16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As such, the CODM uses cash forecast models in deciding how to invest in the development of novel drugs and diagnostics.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90 / 117</w:t>
      </w:r>
    </w:p>
    <w:p>
      <w:pPr>
        <w:sectPr>
          <w:pgSz w:w="12240" w:h="15840" w:orient="portrait"/>
          <w:cols w:equalWidth="0" w:num="1">
            <w:col w:w="10820"/>
          </w:cols>
          <w:pgMar w:left="700" w:top="788" w:right="720" w:bottom="0" w:gutter="0" w:footer="0" w:header="0"/>
        </w:sectPr>
      </w:pPr>
    </w:p>
    <w:bookmarkStart w:id="90" w:name="page91"/>
    <w:bookmarkEnd w:id="90"/>
    <w:p>
      <w:pPr>
        <w:ind w:left="360"/>
        <w:spacing w:after="0"/>
        <w:rPr>
          <w:sz w:val="20"/>
          <w:szCs w:val="20"/>
          <w:color w:val="auto"/>
        </w:rPr>
      </w:pPr>
      <w:r>
        <w:rPr>
          <w:rFonts w:ascii="Times New Roman" w:cs="Times New Roman" w:eastAsia="Times New Roman" w:hAnsi="Times New Roman"/>
          <w:sz w:val="20"/>
          <w:szCs w:val="20"/>
          <w:color w:val="auto"/>
        </w:rPr>
        <w:t>The following table summarizes expenses by category regularly reviewed by the CODM (in thousands):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95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5950" w:type="dxa"/>
            <w:vAlign w:val="bottom"/>
            <w:tcBorders>
              <w:bottom w:val="single" w:sz="8" w:color="E3E3E3"/>
            </w:tcBorders>
          </w:tcPr>
          <w:p>
            <w:pPr>
              <w:spacing w:after="0"/>
              <w:rPr>
                <w:sz w:val="20"/>
                <w:szCs w:val="20"/>
                <w:color w:val="auto"/>
              </w:rPr>
            </w:pPr>
          </w:p>
        </w:tc>
        <w:tc>
          <w:tcPr>
            <w:tcW w:w="11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200" w:type="dxa"/>
            <w:vAlign w:val="bottom"/>
            <w:tcBorders>
              <w:bottom w:val="single" w:sz="8" w:color="E3E3E3"/>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3E3E3"/>
            </w:tcBorders>
          </w:tcPr>
          <w:p>
            <w:pPr>
              <w:spacing w:after="0"/>
              <w:rPr>
                <w:sz w:val="20"/>
                <w:szCs w:val="20"/>
                <w:color w:val="auto"/>
              </w:rPr>
            </w:pPr>
          </w:p>
        </w:tc>
      </w:tr>
      <w:tr>
        <w:trPr>
          <w:trHeight w:val="230"/>
        </w:trPr>
        <w:tc>
          <w:tcPr>
            <w:tcW w:w="5950" w:type="dxa"/>
            <w:vAlign w:val="bottom"/>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Operating expenses</w:t>
            </w:r>
          </w:p>
        </w:tc>
        <w:tc>
          <w:tcPr>
            <w:tcW w:w="110" w:type="dxa"/>
            <w:vAlign w:val="bottom"/>
            <w:tcBorders>
              <w:right w:val="single" w:sz="8" w:color="E3E3E3"/>
            </w:tcBorders>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0" w:type="dxa"/>
            <w:vAlign w:val="bottom"/>
            <w:tcBorders>
              <w:right w:val="single" w:sz="8" w:color="E3E3E3"/>
            </w:tcBorders>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E3E3E3"/>
            </w:tcBorders>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40"/>
        </w:trPr>
        <w:tc>
          <w:tcPr>
            <w:tcW w:w="6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26,590</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69,637</w:t>
            </w:r>
          </w:p>
        </w:tc>
        <w:tc>
          <w:tcPr>
            <w:tcW w:w="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89,423</w:t>
            </w:r>
          </w:p>
        </w:tc>
        <w:tc>
          <w:tcPr>
            <w:tcW w:w="100" w:type="dxa"/>
            <w:vAlign w:val="bottom"/>
          </w:tcPr>
          <w:p>
            <w:pPr>
              <w:spacing w:after="0"/>
              <w:rPr>
                <w:sz w:val="20"/>
                <w:szCs w:val="20"/>
                <w:color w:val="auto"/>
              </w:rPr>
            </w:pPr>
          </w:p>
        </w:tc>
      </w:tr>
      <w:tr>
        <w:trPr>
          <w:trHeight w:val="255"/>
        </w:trPr>
        <w:tc>
          <w:tcPr>
            <w:tcW w:w="5950" w:type="dxa"/>
            <w:vAlign w:val="bottom"/>
            <w:tcBorders>
              <w:bottom w:val="single" w:sz="8" w:color="E3E3E3"/>
            </w:tcBorders>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1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spacing w:after="0"/>
              <w:rPr>
                <w:sz w:val="22"/>
                <w:szCs w:val="22"/>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68,800</w:t>
            </w:r>
          </w:p>
        </w:tc>
        <w:tc>
          <w:tcPr>
            <w:tcW w:w="100" w:type="dxa"/>
            <w:vAlign w:val="bottom"/>
            <w:tcBorders>
              <w:bottom w:val="single" w:sz="8" w:color="E3E3E3"/>
            </w:tcBorders>
            <w:shd w:val="clear" w:color="auto" w:fill="E3E3E3"/>
          </w:tcPr>
          <w:p>
            <w:pPr>
              <w:spacing w:after="0"/>
              <w:rPr>
                <w:sz w:val="22"/>
                <w:szCs w:val="22"/>
                <w:color w:val="auto"/>
              </w:rPr>
            </w:pPr>
          </w:p>
        </w:tc>
        <w:tc>
          <w:tcPr>
            <w:tcW w:w="12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spacing w:after="0"/>
              <w:rPr>
                <w:sz w:val="22"/>
                <w:szCs w:val="22"/>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71,809</w:t>
            </w:r>
          </w:p>
        </w:tc>
        <w:tc>
          <w:tcPr>
            <w:tcW w:w="20" w:type="dxa"/>
            <w:vAlign w:val="bottom"/>
            <w:tcBorders>
              <w:bottom w:val="single" w:sz="8" w:color="E3E3E3"/>
            </w:tcBorders>
          </w:tcPr>
          <w:p>
            <w:pPr>
              <w:spacing w:after="0"/>
              <w:rPr>
                <w:sz w:val="22"/>
                <w:szCs w:val="22"/>
                <w:color w:val="auto"/>
              </w:rPr>
            </w:pPr>
          </w:p>
        </w:tc>
        <w:tc>
          <w:tcPr>
            <w:tcW w:w="200" w:type="dxa"/>
            <w:vAlign w:val="bottom"/>
            <w:tcBorders>
              <w:bottom w:val="single" w:sz="8" w:color="E3E3E3"/>
              <w:right w:val="single" w:sz="8" w:color="E3E3E3"/>
            </w:tcBorders>
            <w:shd w:val="clear" w:color="auto" w:fill="E3E3E3"/>
          </w:tcPr>
          <w:p>
            <w:pPr>
              <w:spacing w:after="0"/>
              <w:rPr>
                <w:sz w:val="22"/>
                <w:szCs w:val="22"/>
                <w:color w:val="auto"/>
              </w:rPr>
            </w:pPr>
          </w:p>
        </w:tc>
        <w:tc>
          <w:tcPr>
            <w:tcW w:w="360" w:type="dxa"/>
            <w:vAlign w:val="bottom"/>
            <w:tcBorders>
              <w:bottom w:val="single" w:sz="8" w:color="E3E3E3"/>
            </w:tcBorders>
            <w:shd w:val="clear" w:color="auto" w:fill="E3E3E3"/>
          </w:tcPr>
          <w:p>
            <w:pPr>
              <w:spacing w:after="0"/>
              <w:rPr>
                <w:sz w:val="22"/>
                <w:szCs w:val="22"/>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16,534</w:t>
            </w:r>
          </w:p>
        </w:tc>
        <w:tc>
          <w:tcPr>
            <w:tcW w:w="100" w:type="dxa"/>
            <w:vAlign w:val="bottom"/>
            <w:tcBorders>
              <w:bottom w:val="single" w:sz="8" w:color="E3E3E3"/>
            </w:tcBorders>
            <w:shd w:val="clear" w:color="auto" w:fill="E3E3E3"/>
          </w:tcPr>
          <w:p>
            <w:pPr>
              <w:spacing w:after="0"/>
              <w:rPr>
                <w:sz w:val="22"/>
                <w:szCs w:val="22"/>
                <w:color w:val="auto"/>
              </w:rPr>
            </w:pPr>
          </w:p>
        </w:tc>
      </w:tr>
      <w:tr>
        <w:trPr>
          <w:trHeight w:val="210"/>
        </w:trPr>
        <w:tc>
          <w:tcPr>
            <w:tcW w:w="606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Other segment items(a)</w:t>
            </w:r>
          </w:p>
        </w:tc>
        <w:tc>
          <w:tcPr>
            <w:tcW w:w="100" w:type="dxa"/>
            <w:vAlign w:val="bottom"/>
          </w:tcPr>
          <w:p>
            <w:pPr>
              <w:spacing w:after="0"/>
              <w:rPr>
                <w:sz w:val="18"/>
                <w:szCs w:val="18"/>
                <w:color w:val="auto"/>
              </w:rPr>
            </w:pPr>
          </w:p>
        </w:tc>
        <w:tc>
          <w:tcPr>
            <w:tcW w:w="1400" w:type="dxa"/>
            <w:vAlign w:val="bottom"/>
            <w:gridSpan w:val="2"/>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rPr>
              <w:t>(4,417)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(117,104)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(8,740)</w:t>
            </w:r>
          </w:p>
        </w:tc>
      </w:tr>
      <w:tr>
        <w:trPr>
          <w:trHeight w:val="274"/>
        </w:trPr>
        <w:tc>
          <w:tcPr>
            <w:tcW w:w="5950" w:type="dxa"/>
            <w:vAlign w:val="bottom"/>
            <w:tcBorders>
              <w:top w:val="single" w:sz="8" w:color="E3E3E3"/>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11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1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90,973</w:t>
            </w: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c>
          <w:tcPr>
            <w:tcW w:w="12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1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24,342</w:t>
            </w:r>
          </w:p>
        </w:tc>
        <w:tc>
          <w:tcPr>
            <w:tcW w:w="20" w:type="dxa"/>
            <w:vAlign w:val="bottom"/>
            <w:tcBorders>
              <w:bottom w:val="single" w:sz="8" w:color="E3E3E3"/>
            </w:tcBorders>
          </w:tcPr>
          <w:p>
            <w:pPr>
              <w:spacing w:after="0"/>
              <w:rPr>
                <w:sz w:val="23"/>
                <w:szCs w:val="23"/>
                <w:color w:val="auto"/>
              </w:rPr>
            </w:pPr>
          </w:p>
        </w:tc>
        <w:tc>
          <w:tcPr>
            <w:tcW w:w="20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360" w:type="dxa"/>
            <w:vAlign w:val="bottom"/>
            <w:tcBorders>
              <w:top w:val="single" w:sz="8" w:color="auto"/>
              <w:bottom w:val="single" w:sz="8" w:color="E3E3E3"/>
            </w:tcBorders>
            <w:shd w:val="clear" w:color="auto" w:fill="E3E3E3"/>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97,217</w:t>
            </w: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r>
      <w:tr>
        <w:trPr>
          <w:trHeight w:val="20"/>
        </w:trPr>
        <w:tc>
          <w:tcPr>
            <w:tcW w:w="595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r>
    </w:tbl>
    <w:p>
      <w:pPr>
        <w:spacing w:after="0" w:line="210" w:lineRule="exact"/>
        <w:rPr>
          <w:sz w:val="20"/>
          <w:szCs w:val="20"/>
          <w:color w:val="auto"/>
        </w:rPr>
      </w:pPr>
    </w:p>
    <w:p>
      <w:pPr>
        <w:ind w:left="20" w:right="220"/>
        <w:spacing w:after="0" w:line="277" w:lineRule="auto"/>
        <w:tabs>
          <w:tab w:leader="none" w:pos="29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segment items include interest income, other income (loss), net and gain from change in fair value of warrant liabilities (in 2024 only).</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65"/>
        </w:trPr>
        <w:tc>
          <w:tcPr>
            <w:tcW w:w="76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The following table summarizes assets regularly reviewed by the CODM (in thousands):</w:t>
            </w:r>
          </w:p>
        </w:tc>
        <w:tc>
          <w:tcPr>
            <w:tcW w:w="100" w:type="dxa"/>
            <w:vAlign w:val="bottom"/>
          </w:tcPr>
          <w:p>
            <w:pPr>
              <w:spacing w:after="0"/>
              <w:rPr>
                <w:sz w:val="23"/>
                <w:szCs w:val="23"/>
                <w:color w:val="auto"/>
              </w:rPr>
            </w:pPr>
          </w:p>
        </w:tc>
        <w:tc>
          <w:tcPr>
            <w:tcW w:w="2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68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E3E3E3"/>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680" w:type="dxa"/>
            <w:vAlign w:val="bottom"/>
            <w:tcBorders>
              <w:bottom w:val="single" w:sz="8" w:color="E3E3E3"/>
              <w:right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Cash and cash equivalents</w:t>
            </w:r>
          </w:p>
        </w:tc>
        <w:tc>
          <w:tcPr>
            <w:tcW w:w="1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95,502</w:t>
            </w:r>
          </w:p>
        </w:tc>
        <w:tc>
          <w:tcPr>
            <w:tcW w:w="220" w:type="dxa"/>
            <w:vAlign w:val="bottom"/>
            <w:tcBorders>
              <w:bottom w:val="single" w:sz="8" w:color="E3E3E3"/>
              <w:right w:val="single" w:sz="8" w:color="E3E3E3"/>
            </w:tcBorders>
            <w:shd w:val="clear" w:color="auto" w:fill="E3E3E3"/>
          </w:tcPr>
          <w:p>
            <w:pPr>
              <w:spacing w:after="0"/>
              <w:rPr>
                <w:sz w:val="23"/>
                <w:szCs w:val="23"/>
                <w:color w:val="auto"/>
              </w:rPr>
            </w:pPr>
          </w:p>
        </w:tc>
        <w:tc>
          <w:tcPr>
            <w:tcW w:w="480" w:type="dxa"/>
            <w:vAlign w:val="bottom"/>
            <w:tcBorders>
              <w:bottom w:val="single" w:sz="8" w:color="E3E3E3"/>
            </w:tcBorders>
            <w:shd w:val="clear" w:color="auto" w:fill="E3E3E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128,574</w:t>
            </w:r>
          </w:p>
        </w:tc>
        <w:tc>
          <w:tcPr>
            <w:tcW w:w="100" w:type="dxa"/>
            <w:vAlign w:val="bottom"/>
            <w:tcBorders>
              <w:bottom w:val="single" w:sz="8" w:color="E3E3E3"/>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20" w:type="dxa"/>
            <w:vAlign w:val="bottom"/>
            <w:tcBorders>
              <w:top w:val="single" w:sz="8" w:color="E3E3E3"/>
              <w:right w:val="single" w:sz="8" w:color="auto"/>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380" w:firstLine="360"/>
        <w:spacing w:after="0" w:line="277" w:lineRule="auto"/>
        <w:rPr>
          <w:sz w:val="20"/>
          <w:szCs w:val="20"/>
          <w:color w:val="auto"/>
        </w:rPr>
      </w:pPr>
      <w:r>
        <w:rPr>
          <w:rFonts w:ascii="Times New Roman" w:cs="Times New Roman" w:eastAsia="Times New Roman" w:hAnsi="Times New Roman"/>
          <w:sz w:val="20"/>
          <w:szCs w:val="20"/>
          <w:color w:val="auto"/>
        </w:rPr>
        <w:t>For the years ended December 31, 2025, 2024 and 2023, the net cash used in operating activities was $32.3 million, $116.9 million and $82.0 million, respectively.</w:t>
      </w: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1" w:lineRule="exact"/>
        <w:rPr>
          <w:sz w:val="20"/>
          <w:szCs w:val="20"/>
          <w:color w:val="auto"/>
        </w:rPr>
      </w:pPr>
    </w:p>
    <w:p>
      <w:pPr>
        <w:jc w:val="both"/>
        <w:ind w:left="20" w:firstLine="360"/>
        <w:spacing w:after="0" w:line="262" w:lineRule="auto"/>
        <w:rPr>
          <w:sz w:val="20"/>
          <w:szCs w:val="20"/>
          <w:color w:val="auto"/>
        </w:rPr>
      </w:pPr>
      <w:r>
        <w:rPr>
          <w:rFonts w:ascii="Times New Roman" w:cs="Times New Roman" w:eastAsia="Times New Roman" w:hAnsi="Times New Roman"/>
          <w:sz w:val="19"/>
          <w:szCs w:val="19"/>
          <w:color w:val="auto"/>
        </w:rPr>
        <w:t>The Company recognizes non-cash expense for the fair value of all stock options and other share-based awards. The Company uses the Black -Scholes option valuation model (“Black-Scholes”) to calculate the fair value of stock options, using the single-option award approach and straight-line attribution method. This model requires the input of subjective assumptions including expected stock price volatility, expected life and estimated forfeitures of each award. These assumptions consist of estimates of future market conditions, which are inherently uncertain, and therefore, are subject to management’s judgment. For all options granted, it recognizes the resulting fair value as expense on a straight-line basis over the vesting period of each respective stock option, generally one to four years.</w:t>
      </w:r>
    </w:p>
    <w:p>
      <w:pPr>
        <w:spacing w:after="0" w:line="179" w:lineRule="exact"/>
        <w:rPr>
          <w:sz w:val="20"/>
          <w:szCs w:val="20"/>
          <w:color w:val="auto"/>
        </w:rPr>
      </w:pPr>
    </w:p>
    <w:p>
      <w:pPr>
        <w:jc w:val="both"/>
        <w:ind w:left="20" w:firstLine="360"/>
        <w:spacing w:after="0" w:line="262" w:lineRule="auto"/>
        <w:rPr>
          <w:sz w:val="20"/>
          <w:szCs w:val="20"/>
          <w:color w:val="auto"/>
        </w:rPr>
      </w:pPr>
      <w:r>
        <w:rPr>
          <w:rFonts w:ascii="Times New Roman" w:cs="Times New Roman" w:eastAsia="Times New Roman" w:hAnsi="Times New Roman"/>
          <w:sz w:val="19"/>
          <w:szCs w:val="19"/>
          <w:color w:val="auto"/>
        </w:rPr>
        <w:t>The Company has granted share- based awards that vest upon achievement of certain performance criteria (“Performance Awards”). The Company multiplies the number of Performance Awards by the fair value of its common stock on the date of grant to calculate the fair value of each award. It estimates an implicit service period for achieving performance criteria for each award. The Company recognizes the resulting fair value as expense over the implicit service period when it concludes that achieving the performance criteria is probable. It periodically reviews and updates as appropriate its estimates of implicit service periods and conclusions on achieving the performance criteria. Performance Awards vest and common stock is issued upon achievement of the performance criteria.</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91 / 117</w:t>
      </w:r>
    </w:p>
    <w:p>
      <w:pPr>
        <w:sectPr>
          <w:pgSz w:w="12240" w:h="15840" w:orient="portrait"/>
          <w:cols w:equalWidth="0" w:num="1">
            <w:col w:w="10820"/>
          </w:cols>
          <w:pgMar w:left="700" w:top="788" w:right="720" w:bottom="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28"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outstanding and potentially dilutive securities outstanding during the period using the treasury stock method. Potentially dilutive securities are excluded from the computations of diluted earnings per share if their effect would be anti-dilutive. A net loss causes all potentially dilutive securities to be anti -dilutive. Potentially dilutive securities consist of outstanding common stock options and Performance Awards. There is no difference between the Company’s net loss and comprehensive loss. The numerators and denominators in the calculation of basic and diluted net loss per share were as follows (in thousands, except net loss per share data):</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5950" w:type="dxa"/>
            <w:vAlign w:val="bottom"/>
            <w:tcBorders>
              <w:bottom w:val="single" w:sz="8" w:color="E3E3E3"/>
            </w:tcBorders>
          </w:tcPr>
          <w:p>
            <w:pPr>
              <w:spacing w:after="0"/>
              <w:rPr>
                <w:sz w:val="20"/>
                <w:szCs w:val="20"/>
                <w:color w:val="auto"/>
              </w:rPr>
            </w:pPr>
          </w:p>
        </w:tc>
        <w:tc>
          <w:tcPr>
            <w:tcW w:w="11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E3E3E3"/>
            </w:tcBorders>
          </w:tcPr>
          <w:p>
            <w:pPr>
              <w:spacing w:after="0"/>
              <w:rPr>
                <w:sz w:val="20"/>
                <w:szCs w:val="20"/>
                <w:color w:val="auto"/>
              </w:rPr>
            </w:pPr>
          </w:p>
        </w:tc>
        <w:tc>
          <w:tcPr>
            <w:tcW w:w="200" w:type="dxa"/>
            <w:vAlign w:val="bottom"/>
            <w:tcBorders>
              <w:bottom w:val="single" w:sz="8" w:color="E3E3E3"/>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3E3E3"/>
            </w:tcBorders>
          </w:tcPr>
          <w:p>
            <w:pPr>
              <w:spacing w:after="0"/>
              <w:rPr>
                <w:sz w:val="20"/>
                <w:szCs w:val="20"/>
                <w:color w:val="auto"/>
              </w:rPr>
            </w:pPr>
          </w:p>
        </w:tc>
      </w:tr>
      <w:tr>
        <w:trPr>
          <w:trHeight w:val="230"/>
        </w:trPr>
        <w:tc>
          <w:tcPr>
            <w:tcW w:w="5950" w:type="dxa"/>
            <w:vAlign w:val="bottom"/>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Numerator, basic:</w:t>
            </w:r>
          </w:p>
        </w:tc>
        <w:tc>
          <w:tcPr>
            <w:tcW w:w="11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04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8"/>
        </w:trPr>
        <w:tc>
          <w:tcPr>
            <w:tcW w:w="595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11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(24,342)</w:t>
            </w:r>
          </w:p>
        </w:tc>
        <w:tc>
          <w:tcPr>
            <w:tcW w:w="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(97,217)</w:t>
            </w:r>
          </w:p>
        </w:tc>
      </w:tr>
      <w:tr>
        <w:trPr>
          <w:trHeight w:val="242"/>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Denominator, basic:</w:t>
            </w:r>
          </w:p>
        </w:tc>
        <w:tc>
          <w:tcPr>
            <w:tcW w:w="11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42"/>
        </w:trPr>
        <w:tc>
          <w:tcPr>
            <w:tcW w:w="6060" w:type="dxa"/>
            <w:vAlign w:val="bottom"/>
            <w:tcBorders>
              <w:bottom w:val="single" w:sz="8" w:color="E3E3E3"/>
            </w:tcBorders>
            <w:gridSpan w:val="2"/>
          </w:tcPr>
          <w:p>
            <w:pPr>
              <w:ind w:left="18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48,297</w:t>
            </w:r>
          </w:p>
        </w:tc>
        <w:tc>
          <w:tcPr>
            <w:tcW w:w="100" w:type="dxa"/>
            <w:vAlign w:val="bottom"/>
            <w:tcBorders>
              <w:bottom w:val="single" w:sz="8" w:color="E3E3E3"/>
            </w:tcBorders>
          </w:tcPr>
          <w:p>
            <w:pPr>
              <w:spacing w:after="0"/>
              <w:rPr>
                <w:sz w:val="21"/>
                <w:szCs w:val="21"/>
                <w:color w:val="auto"/>
              </w:rPr>
            </w:pPr>
          </w:p>
        </w:tc>
        <w:tc>
          <w:tcPr>
            <w:tcW w:w="120" w:type="dxa"/>
            <w:vAlign w:val="bottom"/>
            <w:tcBorders>
              <w:bottom w:val="single" w:sz="8" w:color="E3E3E3"/>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46,329</w:t>
            </w:r>
          </w:p>
        </w:tc>
        <w:tc>
          <w:tcPr>
            <w:tcW w:w="20" w:type="dxa"/>
            <w:vAlign w:val="bottom"/>
            <w:tcBorders>
              <w:bottom w:val="single" w:sz="8" w:color="E3E3E3"/>
            </w:tcBorders>
          </w:tcPr>
          <w:p>
            <w:pPr>
              <w:spacing w:after="0"/>
              <w:rPr>
                <w:sz w:val="21"/>
                <w:szCs w:val="21"/>
                <w:color w:val="auto"/>
              </w:rPr>
            </w:pPr>
          </w:p>
        </w:tc>
        <w:tc>
          <w:tcPr>
            <w:tcW w:w="200" w:type="dxa"/>
            <w:vAlign w:val="bottom"/>
            <w:tcBorders>
              <w:bottom w:val="single" w:sz="8" w:color="E3E3E3"/>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41,932</w:t>
            </w:r>
          </w:p>
        </w:tc>
        <w:tc>
          <w:tcPr>
            <w:tcW w:w="100" w:type="dxa"/>
            <w:vAlign w:val="bottom"/>
            <w:tcBorders>
              <w:bottom w:val="single" w:sz="8" w:color="E3E3E3"/>
            </w:tcBorders>
          </w:tcPr>
          <w:p>
            <w:pPr>
              <w:spacing w:after="0"/>
              <w:rPr>
                <w:sz w:val="21"/>
                <w:szCs w:val="21"/>
                <w:color w:val="auto"/>
              </w:rPr>
            </w:pPr>
          </w:p>
        </w:tc>
      </w:tr>
      <w:tr>
        <w:trPr>
          <w:trHeight w:val="286"/>
        </w:trPr>
        <w:tc>
          <w:tcPr>
            <w:tcW w:w="5950" w:type="dxa"/>
            <w:vAlign w:val="bottom"/>
            <w:tcBorders>
              <w:bottom w:val="single" w:sz="8" w:color="E3E3E3"/>
            </w:tcBorders>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auto"/>
              </w:rPr>
              <w:t>Net loss per share, basic</w:t>
            </w:r>
          </w:p>
        </w:tc>
        <w:tc>
          <w:tcPr>
            <w:tcW w:w="11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(1.88)</w:t>
            </w:r>
          </w:p>
        </w:tc>
        <w:tc>
          <w:tcPr>
            <w:tcW w:w="10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(0.53)</w:t>
            </w:r>
          </w:p>
        </w:tc>
        <w:tc>
          <w:tcPr>
            <w:tcW w:w="20" w:type="dxa"/>
            <w:vAlign w:val="bottom"/>
            <w:tcBorders>
              <w:bottom w:val="single" w:sz="8" w:color="E3E3E3"/>
            </w:tcBorders>
            <w:shd w:val="clear" w:color="auto" w:fill="E3E3E3"/>
          </w:tcPr>
          <w:p>
            <w:pPr>
              <w:spacing w:after="0"/>
              <w:rPr>
                <w:sz w:val="24"/>
                <w:szCs w:val="24"/>
                <w:color w:val="auto"/>
              </w:rPr>
            </w:pPr>
          </w:p>
        </w:tc>
        <w:tc>
          <w:tcPr>
            <w:tcW w:w="200" w:type="dxa"/>
            <w:vAlign w:val="bottom"/>
            <w:tcBorders>
              <w:bottom w:val="single" w:sz="8" w:color="E3E3E3"/>
            </w:tcBorders>
            <w:shd w:val="clear" w:color="auto" w:fill="E3E3E3"/>
          </w:tcPr>
          <w:p>
            <w:pPr>
              <w:spacing w:after="0"/>
              <w:rPr>
                <w:sz w:val="24"/>
                <w:szCs w:val="24"/>
                <w:color w:val="auto"/>
              </w:rPr>
            </w:pPr>
          </w:p>
        </w:tc>
        <w:tc>
          <w:tcPr>
            <w:tcW w:w="360" w:type="dxa"/>
            <w:vAlign w:val="bottom"/>
            <w:tcBorders>
              <w:bottom w:val="single" w:sz="8" w:color="E3E3E3"/>
            </w:tcBorders>
            <w:shd w:val="clear" w:color="auto" w:fill="E3E3E3"/>
          </w:tcPr>
          <w:p>
            <w:pPr>
              <w:spacing w:after="0"/>
              <w:rPr>
                <w:sz w:val="24"/>
                <w:szCs w:val="24"/>
                <w:color w:val="auto"/>
              </w:rPr>
            </w:pPr>
          </w:p>
        </w:tc>
        <w:tc>
          <w:tcPr>
            <w:tcW w:w="104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(2.32)</w:t>
            </w:r>
          </w:p>
        </w:tc>
        <w:tc>
          <w:tcPr>
            <w:tcW w:w="100" w:type="dxa"/>
            <w:vAlign w:val="bottom"/>
            <w:tcBorders>
              <w:bottom w:val="single" w:sz="8" w:color="E3E3E3"/>
            </w:tcBorders>
            <w:shd w:val="clear" w:color="auto" w:fill="E3E3E3"/>
          </w:tcPr>
          <w:p>
            <w:pPr>
              <w:spacing w:after="0"/>
              <w:rPr>
                <w:sz w:val="24"/>
                <w:szCs w:val="24"/>
                <w:color w:val="auto"/>
              </w:rPr>
            </w:pPr>
          </w:p>
        </w:tc>
      </w:tr>
      <w:tr>
        <w:trPr>
          <w:trHeight w:val="221"/>
        </w:trPr>
        <w:tc>
          <w:tcPr>
            <w:tcW w:w="5950" w:type="dxa"/>
            <w:vAlign w:val="bottom"/>
            <w:tcBorders>
              <w:top w:val="single" w:sz="8" w:color="E3E3E3"/>
            </w:tcBorders>
          </w:tcPr>
          <w:p>
            <w:pPr>
              <w:spacing w:after="0"/>
              <w:rPr>
                <w:sz w:val="19"/>
                <w:szCs w:val="19"/>
                <w:color w:val="auto"/>
              </w:rPr>
            </w:pPr>
          </w:p>
        </w:tc>
        <w:tc>
          <w:tcPr>
            <w:tcW w:w="11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Numerator, diluted:</w:t>
            </w:r>
          </w:p>
        </w:tc>
        <w:tc>
          <w:tcPr>
            <w:tcW w:w="11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360" w:type="dxa"/>
            <w:vAlign w:val="bottom"/>
            <w:shd w:val="clear" w:color="auto" w:fill="E3E3E3"/>
          </w:tcPr>
          <w:p>
            <w:pPr>
              <w:spacing w:after="0"/>
              <w:rPr>
                <w:sz w:val="20"/>
                <w:szCs w:val="20"/>
                <w:color w:val="auto"/>
              </w:rPr>
            </w:pPr>
          </w:p>
        </w:tc>
        <w:tc>
          <w:tcPr>
            <w:tcW w:w="104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40"/>
        </w:trPr>
        <w:tc>
          <w:tcPr>
            <w:tcW w:w="6060" w:type="dxa"/>
            <w:vAlign w:val="bottom"/>
            <w:tcBorders>
              <w:bottom w:val="single" w:sz="8" w:color="E3E3E3"/>
            </w:tcBorders>
            <w:gridSpan w:val="2"/>
          </w:tcPr>
          <w:p>
            <w:pPr>
              <w:ind w:left="180"/>
              <w:spacing w:after="0"/>
              <w:rPr>
                <w:sz w:val="20"/>
                <w:szCs w:val="20"/>
                <w:color w:val="auto"/>
              </w:rPr>
            </w:pPr>
            <w:r>
              <w:rPr>
                <w:rFonts w:ascii="Times New Roman" w:cs="Times New Roman" w:eastAsia="Times New Roman" w:hAnsi="Times New Roman"/>
                <w:sz w:val="20"/>
                <w:szCs w:val="20"/>
                <w:color w:val="auto"/>
              </w:rPr>
              <w:t>Net loss</w:t>
            </w:r>
          </w:p>
        </w:tc>
        <w:tc>
          <w:tcPr>
            <w:tcW w:w="1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E3E3E3"/>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(90,973)</w:t>
            </w:r>
          </w:p>
        </w:tc>
        <w:tc>
          <w:tcPr>
            <w:tcW w:w="220" w:type="dxa"/>
            <w:vAlign w:val="bottom"/>
            <w:tcBorders>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(24,342)</w:t>
            </w:r>
          </w:p>
        </w:tc>
        <w:tc>
          <w:tcPr>
            <w:tcW w:w="20" w:type="dxa"/>
            <w:vAlign w:val="bottom"/>
            <w:tcBorders>
              <w:bottom w:val="single" w:sz="8" w:color="E3E3E3"/>
            </w:tcBorders>
          </w:tcPr>
          <w:p>
            <w:pPr>
              <w:spacing w:after="0"/>
              <w:rPr>
                <w:sz w:val="20"/>
                <w:szCs w:val="20"/>
                <w:color w:val="auto"/>
              </w:rPr>
            </w:pPr>
          </w:p>
        </w:tc>
        <w:tc>
          <w:tcPr>
            <w:tcW w:w="560" w:type="dxa"/>
            <w:vAlign w:val="bottom"/>
            <w:tcBorders>
              <w:bottom w:val="single" w:sz="8" w:color="E3E3E3"/>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E3E3E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(97,217)</w:t>
            </w:r>
          </w:p>
        </w:tc>
      </w:tr>
      <w:tr>
        <w:trPr>
          <w:trHeight w:val="233"/>
        </w:trPr>
        <w:tc>
          <w:tcPr>
            <w:tcW w:w="595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Adjustment for change in fair value of warrant liabilities</w:t>
            </w:r>
          </w:p>
        </w:tc>
        <w:tc>
          <w:tcPr>
            <w:tcW w:w="11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(43,793)</w:t>
            </w:r>
          </w:p>
        </w:tc>
        <w:tc>
          <w:tcPr>
            <w:tcW w:w="20" w:type="dxa"/>
            <w:vAlign w:val="bottom"/>
            <w:tcBorders>
              <w:bottom w:val="single" w:sz="8" w:color="E3E3E3"/>
            </w:tcBorders>
            <w:shd w:val="clear" w:color="auto" w:fill="E3E3E3"/>
          </w:tcPr>
          <w:p>
            <w:pPr>
              <w:spacing w:after="0"/>
              <w:rPr>
                <w:sz w:val="20"/>
                <w:szCs w:val="20"/>
                <w:color w:val="auto"/>
              </w:rPr>
            </w:pPr>
          </w:p>
        </w:tc>
        <w:tc>
          <w:tcPr>
            <w:tcW w:w="200" w:type="dxa"/>
            <w:vAlign w:val="bottom"/>
            <w:tcBorders>
              <w:bottom w:val="single" w:sz="8" w:color="E3E3E3"/>
            </w:tcBorders>
            <w:shd w:val="clear" w:color="auto" w:fill="E3E3E3"/>
          </w:tcPr>
          <w:p>
            <w:pPr>
              <w:spacing w:after="0"/>
              <w:rPr>
                <w:sz w:val="20"/>
                <w:szCs w:val="20"/>
                <w:color w:val="auto"/>
              </w:rPr>
            </w:pPr>
          </w:p>
        </w:tc>
        <w:tc>
          <w:tcPr>
            <w:tcW w:w="360" w:type="dxa"/>
            <w:vAlign w:val="bottom"/>
            <w:tcBorders>
              <w:bottom w:val="single" w:sz="8" w:color="auto"/>
            </w:tcBorders>
            <w:shd w:val="clear" w:color="auto" w:fill="E3E3E3"/>
          </w:tcPr>
          <w:p>
            <w:pPr>
              <w:spacing w:after="0"/>
              <w:rPr>
                <w:sz w:val="20"/>
                <w:szCs w:val="20"/>
                <w:color w:val="auto"/>
              </w:rPr>
            </w:pPr>
          </w:p>
        </w:tc>
        <w:tc>
          <w:tcPr>
            <w:tcW w:w="104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7"/>
        </w:trPr>
        <w:tc>
          <w:tcPr>
            <w:tcW w:w="595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Adjusted numerator, diluted</w:t>
            </w:r>
          </w:p>
        </w:tc>
        <w:tc>
          <w:tcPr>
            <w:tcW w:w="110" w:type="dxa"/>
            <w:vAlign w:val="bottom"/>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(90,973)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(68,135)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ind w:right="160"/>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0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(97,217)</w:t>
            </w:r>
          </w:p>
        </w:tc>
        <w:tc>
          <w:tcPr>
            <w:tcW w:w="100" w:type="dxa"/>
            <w:vAlign w:val="bottom"/>
          </w:tcPr>
          <w:p>
            <w:pPr>
              <w:spacing w:after="0"/>
              <w:rPr>
                <w:sz w:val="18"/>
                <w:szCs w:val="18"/>
                <w:color w:val="auto"/>
              </w:rPr>
            </w:pPr>
          </w:p>
        </w:tc>
      </w:tr>
      <w:tr>
        <w:trPr>
          <w:trHeight w:val="242"/>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Denominator, diluted:</w:t>
            </w:r>
          </w:p>
        </w:tc>
        <w:tc>
          <w:tcPr>
            <w:tcW w:w="11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360" w:type="dxa"/>
            <w:vAlign w:val="bottom"/>
            <w:shd w:val="clear" w:color="auto" w:fill="E3E3E3"/>
          </w:tcPr>
          <w:p>
            <w:pPr>
              <w:spacing w:after="0"/>
              <w:rPr>
                <w:sz w:val="21"/>
                <w:szCs w:val="21"/>
                <w:color w:val="auto"/>
              </w:rPr>
            </w:pPr>
          </w:p>
        </w:tc>
        <w:tc>
          <w:tcPr>
            <w:tcW w:w="104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38"/>
        </w:trPr>
        <w:tc>
          <w:tcPr>
            <w:tcW w:w="595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11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48,297</w:t>
            </w:r>
          </w:p>
        </w:tc>
        <w:tc>
          <w:tcPr>
            <w:tcW w:w="100" w:type="dxa"/>
            <w:vAlign w:val="bottom"/>
            <w:tcBorders>
              <w:bottom w:val="single" w:sz="8" w:color="E3E3E3"/>
            </w:tcBorders>
          </w:tcPr>
          <w:p>
            <w:pPr>
              <w:spacing w:after="0"/>
              <w:rPr>
                <w:sz w:val="20"/>
                <w:szCs w:val="20"/>
                <w:color w:val="auto"/>
              </w:rPr>
            </w:pPr>
          </w:p>
        </w:tc>
        <w:tc>
          <w:tcPr>
            <w:tcW w:w="1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46,329</w:t>
            </w:r>
          </w:p>
        </w:tc>
        <w:tc>
          <w:tcPr>
            <w:tcW w:w="20" w:type="dxa"/>
            <w:vAlign w:val="bottom"/>
            <w:tcBorders>
              <w:bottom w:val="single" w:sz="8" w:color="E3E3E3"/>
            </w:tcBorders>
          </w:tcPr>
          <w:p>
            <w:pPr>
              <w:spacing w:after="0"/>
              <w:rPr>
                <w:sz w:val="20"/>
                <w:szCs w:val="20"/>
                <w:color w:val="auto"/>
              </w:rPr>
            </w:pPr>
          </w:p>
        </w:tc>
        <w:tc>
          <w:tcPr>
            <w:tcW w:w="200" w:type="dxa"/>
            <w:vAlign w:val="bottom"/>
            <w:tcBorders>
              <w:bottom w:val="single" w:sz="8" w:color="E3E3E3"/>
            </w:tcBorders>
          </w:tcPr>
          <w:p>
            <w:pPr>
              <w:spacing w:after="0"/>
              <w:rPr>
                <w:sz w:val="20"/>
                <w:szCs w:val="20"/>
                <w:color w:val="auto"/>
              </w:rPr>
            </w:pPr>
          </w:p>
        </w:tc>
        <w:tc>
          <w:tcPr>
            <w:tcW w:w="360" w:type="dxa"/>
            <w:vAlign w:val="bottom"/>
            <w:tcBorders>
              <w:bottom w:val="single" w:sz="8" w:color="E3E3E3"/>
            </w:tcBorders>
          </w:tcPr>
          <w:p>
            <w:pPr>
              <w:spacing w:after="0"/>
              <w:rPr>
                <w:sz w:val="20"/>
                <w:szCs w:val="20"/>
                <w:color w:val="auto"/>
              </w:rPr>
            </w:pPr>
          </w:p>
        </w:tc>
        <w:tc>
          <w:tcPr>
            <w:tcW w:w="104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41,932</w:t>
            </w:r>
          </w:p>
        </w:tc>
        <w:tc>
          <w:tcPr>
            <w:tcW w:w="100" w:type="dxa"/>
            <w:vAlign w:val="bottom"/>
            <w:tcBorders>
              <w:bottom w:val="single" w:sz="8" w:color="E3E3E3"/>
            </w:tcBorders>
          </w:tcPr>
          <w:p>
            <w:pPr>
              <w:spacing w:after="0"/>
              <w:rPr>
                <w:sz w:val="20"/>
                <w:szCs w:val="20"/>
                <w:color w:val="auto"/>
              </w:rPr>
            </w:pPr>
          </w:p>
        </w:tc>
      </w:tr>
      <w:tr>
        <w:trPr>
          <w:trHeight w:val="219"/>
        </w:trPr>
        <w:tc>
          <w:tcPr>
            <w:tcW w:w="5950" w:type="dxa"/>
            <w:vAlign w:val="bottom"/>
            <w:tcBorders>
              <w:bottom w:val="single" w:sz="8" w:color="E3E3E3"/>
            </w:tcBorders>
            <w:shd w:val="clear" w:color="auto" w:fill="E3E3E3"/>
          </w:tcPr>
          <w:p>
            <w:pPr>
              <w:ind w:left="180"/>
              <w:spacing w:after="0" w:line="215" w:lineRule="exact"/>
              <w:rPr>
                <w:sz w:val="20"/>
                <w:szCs w:val="20"/>
                <w:color w:val="auto"/>
              </w:rPr>
            </w:pPr>
            <w:r>
              <w:rPr>
                <w:rFonts w:ascii="Times New Roman" w:cs="Times New Roman" w:eastAsia="Times New Roman" w:hAnsi="Times New Roman"/>
                <w:sz w:val="20"/>
                <w:szCs w:val="20"/>
                <w:color w:val="auto"/>
              </w:rPr>
              <w:t>Dilutive effect of common stock warrants</w:t>
            </w:r>
          </w:p>
        </w:tc>
        <w:tc>
          <w:tcPr>
            <w:tcW w:w="11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auto"/>
            </w:tcBorders>
            <w:shd w:val="clear" w:color="auto" w:fill="E3E3E3"/>
          </w:tcPr>
          <w:p>
            <w:pPr>
              <w:spacing w:after="0"/>
              <w:rPr>
                <w:sz w:val="19"/>
                <w:szCs w:val="19"/>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19"/>
                <w:szCs w:val="19"/>
                <w:color w:val="auto"/>
              </w:rPr>
            </w:pPr>
          </w:p>
        </w:tc>
        <w:tc>
          <w:tcPr>
            <w:tcW w:w="1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auto"/>
            </w:tcBorders>
            <w:shd w:val="clear" w:color="auto" w:fill="E3E3E3"/>
          </w:tcPr>
          <w:p>
            <w:pPr>
              <w:spacing w:after="0"/>
              <w:rPr>
                <w:sz w:val="19"/>
                <w:szCs w:val="19"/>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275</w:t>
            </w:r>
          </w:p>
        </w:tc>
        <w:tc>
          <w:tcPr>
            <w:tcW w:w="20" w:type="dxa"/>
            <w:vAlign w:val="bottom"/>
            <w:tcBorders>
              <w:bottom w:val="single" w:sz="8" w:color="E3E3E3"/>
            </w:tcBorders>
            <w:shd w:val="clear" w:color="auto" w:fill="E3E3E3"/>
          </w:tcPr>
          <w:p>
            <w:pPr>
              <w:spacing w:after="0"/>
              <w:rPr>
                <w:sz w:val="19"/>
                <w:szCs w:val="19"/>
                <w:color w:val="auto"/>
              </w:rPr>
            </w:pPr>
          </w:p>
        </w:tc>
        <w:tc>
          <w:tcPr>
            <w:tcW w:w="200" w:type="dxa"/>
            <w:vAlign w:val="bottom"/>
            <w:tcBorders>
              <w:bottom w:val="single" w:sz="8" w:color="E3E3E3"/>
            </w:tcBorders>
            <w:shd w:val="clear" w:color="auto" w:fill="E3E3E3"/>
          </w:tcPr>
          <w:p>
            <w:pPr>
              <w:spacing w:after="0"/>
              <w:rPr>
                <w:sz w:val="19"/>
                <w:szCs w:val="19"/>
                <w:color w:val="auto"/>
              </w:rPr>
            </w:pPr>
          </w:p>
        </w:tc>
        <w:tc>
          <w:tcPr>
            <w:tcW w:w="360" w:type="dxa"/>
            <w:vAlign w:val="bottom"/>
            <w:tcBorders>
              <w:bottom w:val="single" w:sz="8" w:color="auto"/>
            </w:tcBorders>
            <w:shd w:val="clear" w:color="auto" w:fill="E3E3E3"/>
          </w:tcPr>
          <w:p>
            <w:pPr>
              <w:spacing w:after="0"/>
              <w:rPr>
                <w:sz w:val="19"/>
                <w:szCs w:val="19"/>
                <w:color w:val="auto"/>
              </w:rPr>
            </w:pPr>
          </w:p>
        </w:tc>
        <w:tc>
          <w:tcPr>
            <w:tcW w:w="104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19"/>
                <w:szCs w:val="19"/>
                <w:color w:val="auto"/>
              </w:rPr>
            </w:pPr>
          </w:p>
        </w:tc>
      </w:tr>
      <w:tr>
        <w:trPr>
          <w:trHeight w:val="238"/>
        </w:trPr>
        <w:tc>
          <w:tcPr>
            <w:tcW w:w="595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dilutive common shares</w:t>
            </w:r>
          </w:p>
        </w:tc>
        <w:tc>
          <w:tcPr>
            <w:tcW w:w="11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41,932</w:t>
            </w:r>
          </w:p>
        </w:tc>
        <w:tc>
          <w:tcPr>
            <w:tcW w:w="100" w:type="dxa"/>
            <w:vAlign w:val="bottom"/>
          </w:tcPr>
          <w:p>
            <w:pPr>
              <w:spacing w:after="0"/>
              <w:rPr>
                <w:sz w:val="20"/>
                <w:szCs w:val="20"/>
                <w:color w:val="auto"/>
              </w:rPr>
            </w:pPr>
          </w:p>
        </w:tc>
      </w:tr>
      <w:tr>
        <w:trPr>
          <w:trHeight w:val="60"/>
        </w:trPr>
        <w:tc>
          <w:tcPr>
            <w:tcW w:w="6060" w:type="dxa"/>
            <w:vAlign w:val="bottom"/>
            <w:tcBorders>
              <w:bottom w:val="single" w:sz="8" w:color="E3E3E3"/>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E3E3E3"/>
            </w:tcBorders>
          </w:tcPr>
          <w:p>
            <w:pPr>
              <w:spacing w:after="0"/>
              <w:rPr>
                <w:sz w:val="5"/>
                <w:szCs w:val="5"/>
                <w:color w:val="auto"/>
              </w:rPr>
            </w:pPr>
          </w:p>
        </w:tc>
        <w:tc>
          <w:tcPr>
            <w:tcW w:w="120" w:type="dxa"/>
            <w:vAlign w:val="bottom"/>
            <w:tcBorders>
              <w:bottom w:val="single" w:sz="8" w:color="E3E3E3"/>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E3E3E3"/>
            </w:tcBorders>
          </w:tcPr>
          <w:p>
            <w:pPr>
              <w:spacing w:after="0"/>
              <w:rPr>
                <w:sz w:val="5"/>
                <w:szCs w:val="5"/>
                <w:color w:val="auto"/>
              </w:rPr>
            </w:pPr>
          </w:p>
        </w:tc>
        <w:tc>
          <w:tcPr>
            <w:tcW w:w="200" w:type="dxa"/>
            <w:vAlign w:val="bottom"/>
            <w:tcBorders>
              <w:bottom w:val="single" w:sz="8" w:color="E3E3E3"/>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E3E3E3"/>
            </w:tcBorders>
          </w:tcPr>
          <w:p>
            <w:pPr>
              <w:spacing w:after="0"/>
              <w:rPr>
                <w:sz w:val="5"/>
                <w:szCs w:val="5"/>
                <w:color w:val="auto"/>
              </w:rPr>
            </w:pPr>
          </w:p>
        </w:tc>
      </w:tr>
      <w:tr>
        <w:trPr>
          <w:trHeight w:val="272"/>
        </w:trPr>
        <w:tc>
          <w:tcPr>
            <w:tcW w:w="5950" w:type="dxa"/>
            <w:vAlign w:val="bottom"/>
            <w:tcBorders>
              <w:bottom w:val="single" w:sz="8" w:color="E3E3E3"/>
            </w:tcBorders>
            <w:shd w:val="clear" w:color="auto" w:fill="E3E3E3"/>
          </w:tcPr>
          <w:p>
            <w:pPr>
              <w:spacing w:after="0" w:line="208" w:lineRule="exact"/>
              <w:rPr>
                <w:sz w:val="20"/>
                <w:szCs w:val="20"/>
                <w:color w:val="auto"/>
              </w:rPr>
            </w:pPr>
            <w:r>
              <w:rPr>
                <w:rFonts w:ascii="Times New Roman" w:cs="Times New Roman" w:eastAsia="Times New Roman" w:hAnsi="Times New Roman"/>
                <w:sz w:val="20"/>
                <w:szCs w:val="20"/>
                <w:color w:val="auto"/>
              </w:rPr>
              <w:t>Net loss per share, diluted</w:t>
            </w:r>
          </w:p>
        </w:tc>
        <w:tc>
          <w:tcPr>
            <w:tcW w:w="110" w:type="dxa"/>
            <w:vAlign w:val="bottom"/>
            <w:tcBorders>
              <w:bottom w:val="single" w:sz="8" w:color="E3E3E3"/>
            </w:tcBorders>
            <w:shd w:val="clear" w:color="auto" w:fill="E3E3E3"/>
          </w:tcPr>
          <w:p>
            <w:pPr>
              <w:spacing w:after="0"/>
              <w:rPr>
                <w:sz w:val="23"/>
                <w:szCs w:val="23"/>
                <w:color w:val="auto"/>
              </w:rPr>
            </w:pPr>
          </w:p>
        </w:tc>
        <w:tc>
          <w:tcPr>
            <w:tcW w:w="100" w:type="dxa"/>
            <w:vAlign w:val="bottom"/>
            <w:tcBorders>
              <w:bottom w:val="single" w:sz="8" w:color="E3E3E3"/>
            </w:tcBorders>
            <w:shd w:val="clear" w:color="auto" w:fill="E3E3E3"/>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08" w:lineRule="exact"/>
              <w:rPr>
                <w:sz w:val="20"/>
                <w:szCs w:val="20"/>
                <w:color w:val="auto"/>
              </w:rPr>
            </w:pPr>
            <w:r>
              <w:rPr>
                <w:rFonts w:ascii="Times New Roman" w:cs="Times New Roman" w:eastAsia="Times New Roman" w:hAnsi="Times New Roman"/>
                <w:sz w:val="20"/>
                <w:szCs w:val="20"/>
                <w:color w:val="auto"/>
              </w:rPr>
              <w:t>(1.88)</w:t>
            </w:r>
          </w:p>
        </w:tc>
        <w:tc>
          <w:tcPr>
            <w:tcW w:w="100" w:type="dxa"/>
            <w:vAlign w:val="bottom"/>
            <w:tcBorders>
              <w:bottom w:val="single" w:sz="8" w:color="E3E3E3"/>
            </w:tcBorders>
            <w:shd w:val="clear" w:color="auto" w:fill="E3E3E3"/>
          </w:tcPr>
          <w:p>
            <w:pPr>
              <w:spacing w:after="0"/>
              <w:rPr>
                <w:sz w:val="23"/>
                <w:szCs w:val="23"/>
                <w:color w:val="auto"/>
              </w:rPr>
            </w:pPr>
          </w:p>
        </w:tc>
        <w:tc>
          <w:tcPr>
            <w:tcW w:w="120" w:type="dxa"/>
            <w:vAlign w:val="bottom"/>
            <w:tcBorders>
              <w:bottom w:val="single" w:sz="8" w:color="E3E3E3"/>
            </w:tcBorders>
            <w:shd w:val="clear" w:color="auto" w:fill="E3E3E3"/>
          </w:tcPr>
          <w:p>
            <w:pPr>
              <w:spacing w:after="0"/>
              <w:rPr>
                <w:sz w:val="23"/>
                <w:szCs w:val="23"/>
                <w:color w:val="auto"/>
              </w:rPr>
            </w:pPr>
          </w:p>
        </w:tc>
        <w:tc>
          <w:tcPr>
            <w:tcW w:w="100" w:type="dxa"/>
            <w:vAlign w:val="bottom"/>
            <w:tcBorders>
              <w:bottom w:val="single" w:sz="8" w:color="E3E3E3"/>
            </w:tcBorders>
            <w:shd w:val="clear" w:color="auto" w:fill="E3E3E3"/>
          </w:tcPr>
          <w:p>
            <w:pPr>
              <w:jc w:val="right"/>
              <w:spacing w:after="0" w:line="208"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08" w:lineRule="exact"/>
              <w:rPr>
                <w:sz w:val="20"/>
                <w:szCs w:val="20"/>
                <w:color w:val="auto"/>
              </w:rPr>
            </w:pPr>
            <w:r>
              <w:rPr>
                <w:rFonts w:ascii="Times New Roman" w:cs="Times New Roman" w:eastAsia="Times New Roman" w:hAnsi="Times New Roman"/>
                <w:sz w:val="20"/>
                <w:szCs w:val="20"/>
                <w:color w:val="auto"/>
              </w:rPr>
              <w:t>(1.46)</w:t>
            </w:r>
          </w:p>
        </w:tc>
        <w:tc>
          <w:tcPr>
            <w:tcW w:w="20" w:type="dxa"/>
            <w:vAlign w:val="bottom"/>
            <w:tcBorders>
              <w:bottom w:val="single" w:sz="8" w:color="E3E3E3"/>
            </w:tcBorders>
            <w:shd w:val="clear" w:color="auto" w:fill="E3E3E3"/>
          </w:tcPr>
          <w:p>
            <w:pPr>
              <w:spacing w:after="0"/>
              <w:rPr>
                <w:sz w:val="23"/>
                <w:szCs w:val="23"/>
                <w:color w:val="auto"/>
              </w:rPr>
            </w:pPr>
          </w:p>
        </w:tc>
        <w:tc>
          <w:tcPr>
            <w:tcW w:w="200" w:type="dxa"/>
            <w:vAlign w:val="bottom"/>
            <w:tcBorders>
              <w:bottom w:val="single" w:sz="8" w:color="E3E3E3"/>
            </w:tcBorders>
            <w:shd w:val="clear" w:color="auto" w:fill="E3E3E3"/>
          </w:tcPr>
          <w:p>
            <w:pPr>
              <w:spacing w:after="0"/>
              <w:rPr>
                <w:sz w:val="23"/>
                <w:szCs w:val="23"/>
                <w:color w:val="auto"/>
              </w:rPr>
            </w:pPr>
          </w:p>
        </w:tc>
        <w:tc>
          <w:tcPr>
            <w:tcW w:w="360" w:type="dxa"/>
            <w:vAlign w:val="bottom"/>
            <w:tcBorders>
              <w:bottom w:val="single" w:sz="8" w:color="E3E3E3"/>
            </w:tcBorders>
            <w:shd w:val="clear" w:color="auto" w:fill="E3E3E3"/>
          </w:tcPr>
          <w:p>
            <w:pPr>
              <w:jc w:val="right"/>
              <w:ind w:right="160"/>
              <w:spacing w:after="0" w:line="208"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bottom w:val="single" w:sz="8" w:color="E3E3E3"/>
            </w:tcBorders>
            <w:shd w:val="clear" w:color="auto" w:fill="E3E3E3"/>
          </w:tcPr>
          <w:p>
            <w:pPr>
              <w:jc w:val="right"/>
              <w:spacing w:after="0" w:line="208" w:lineRule="exact"/>
              <w:rPr>
                <w:sz w:val="20"/>
                <w:szCs w:val="20"/>
                <w:color w:val="auto"/>
              </w:rPr>
            </w:pPr>
            <w:r>
              <w:rPr>
                <w:rFonts w:ascii="Times New Roman" w:cs="Times New Roman" w:eastAsia="Times New Roman" w:hAnsi="Times New Roman"/>
                <w:sz w:val="20"/>
                <w:szCs w:val="20"/>
                <w:color w:val="auto"/>
              </w:rPr>
              <w:t>(2.32)</w:t>
            </w:r>
          </w:p>
        </w:tc>
        <w:tc>
          <w:tcPr>
            <w:tcW w:w="100" w:type="dxa"/>
            <w:vAlign w:val="bottom"/>
            <w:tcBorders>
              <w:bottom w:val="single" w:sz="8" w:color="E3E3E3"/>
            </w:tcBorders>
            <w:shd w:val="clear" w:color="auto" w:fill="E3E3E3"/>
          </w:tcPr>
          <w:p>
            <w:pPr>
              <w:spacing w:after="0"/>
              <w:rPr>
                <w:sz w:val="23"/>
                <w:szCs w:val="23"/>
                <w:color w:val="auto"/>
              </w:rPr>
            </w:pPr>
          </w:p>
        </w:tc>
      </w:tr>
      <w:tr>
        <w:trPr>
          <w:trHeight w:val="221"/>
        </w:trPr>
        <w:tc>
          <w:tcPr>
            <w:tcW w:w="6060" w:type="dxa"/>
            <w:vAlign w:val="bottom"/>
            <w:tcBorders>
              <w:top w:val="single" w:sz="8" w:color="E3E3E3"/>
            </w:tcBorders>
            <w:gridSpan w:val="2"/>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595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shd w:val="clear" w:color="auto" w:fill="E3E3E3"/>
              </w:rPr>
              <w:t>Dilutive common stock options excluded from net loss per share, diluted</w:t>
            </w:r>
          </w:p>
        </w:tc>
        <w:tc>
          <w:tcPr>
            <w:tcW w:w="11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3,940</w:t>
            </w:r>
          </w:p>
        </w:tc>
        <w:tc>
          <w:tcPr>
            <w:tcW w:w="10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20" w:type="dxa"/>
            <w:vAlign w:val="bottom"/>
            <w:tcBorders>
              <w:bottom w:val="single" w:sz="8" w:color="E3E3E3"/>
            </w:tcBorders>
            <w:shd w:val="clear" w:color="auto" w:fill="E3E3E3"/>
          </w:tcPr>
          <w:p>
            <w:pPr>
              <w:spacing w:after="0"/>
              <w:rPr>
                <w:sz w:val="20"/>
                <w:szCs w:val="20"/>
                <w:color w:val="auto"/>
              </w:rPr>
            </w:pPr>
          </w:p>
        </w:tc>
        <w:tc>
          <w:tcPr>
            <w:tcW w:w="200" w:type="dxa"/>
            <w:vAlign w:val="bottom"/>
            <w:tcBorders>
              <w:bottom w:val="single" w:sz="8" w:color="E3E3E3"/>
            </w:tcBorders>
            <w:shd w:val="clear" w:color="auto" w:fill="E3E3E3"/>
          </w:tcPr>
          <w:p>
            <w:pPr>
              <w:spacing w:after="0"/>
              <w:rPr>
                <w:sz w:val="20"/>
                <w:szCs w:val="20"/>
                <w:color w:val="auto"/>
              </w:rPr>
            </w:pPr>
          </w:p>
        </w:tc>
        <w:tc>
          <w:tcPr>
            <w:tcW w:w="3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2,123</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50"/>
        </w:trPr>
        <w:tc>
          <w:tcPr>
            <w:tcW w:w="6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Dilutive Performance Awards excluded from loss per share, diluted</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5775960</wp:posOffset>
                </wp:positionH>
                <wp:positionV relativeFrom="paragraph">
                  <wp:posOffset>-2738120</wp:posOffset>
                </wp:positionV>
                <wp:extent cx="109855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215.5999pt" to="541.3pt,-215.5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-2588895</wp:posOffset>
                </wp:positionV>
                <wp:extent cx="576072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072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203.8499pt" to="454.8pt,-203.8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-2433320</wp:posOffset>
                </wp:positionV>
                <wp:extent cx="685927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91.5999pt" to="541.3pt,-191.5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-2097405</wp:posOffset>
                </wp:positionV>
                <wp:extent cx="383984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65.1499pt" to="303.55pt,-165.14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3855085</wp:posOffset>
                </wp:positionH>
                <wp:positionV relativeFrom="paragraph">
                  <wp:posOffset>-2083435</wp:posOffset>
                </wp:positionV>
                <wp:extent cx="89344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3445"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55pt,-164.0499pt" to="373.9pt,-164.0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4883785</wp:posOffset>
                </wp:positionH>
                <wp:positionV relativeFrom="paragraph">
                  <wp:posOffset>-2083435</wp:posOffset>
                </wp:positionV>
                <wp:extent cx="89217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175"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55pt,-164.0499pt" to="454.8pt,-164.0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5913120</wp:posOffset>
                </wp:positionH>
                <wp:positionV relativeFrom="paragraph">
                  <wp:posOffset>-2083435</wp:posOffset>
                </wp:positionV>
                <wp:extent cx="89281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2810" cy="4763"/>
                        </a:xfrm>
                        <a:prstGeom prst="line">
                          <a:avLst/>
                        </a:prstGeom>
                        <a:solidFill>
                          <a:srgbClr val="FFFFFF"/>
                        </a:solidFill>
                        <a:ln w="1523">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6pt,-164.0499pt" to="535.9pt,-164.0499pt" o:allowincell="f" strokecolor="#FFFFFF" strokeweight="0.1199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-1470025</wp:posOffset>
                </wp:positionV>
                <wp:extent cx="383984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115.7499pt" to="303.55pt,-115.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4748530</wp:posOffset>
                </wp:positionH>
                <wp:positionV relativeFrom="paragraph">
                  <wp:posOffset>-1470025</wp:posOffset>
                </wp:positionV>
                <wp:extent cx="13525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9pt,-115.7499pt" to="384.55pt,-115.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5775960</wp:posOffset>
                </wp:positionH>
                <wp:positionV relativeFrom="paragraph">
                  <wp:posOffset>-1470025</wp:posOffset>
                </wp:positionV>
                <wp:extent cx="13716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115.7499pt" to="465.6pt,-115.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6805930</wp:posOffset>
                </wp:positionH>
                <wp:positionV relativeFrom="paragraph">
                  <wp:posOffset>-1470025</wp:posOffset>
                </wp:positionV>
                <wp:extent cx="6858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5.9pt,-115.7499pt" to="541.3pt,-115.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5775960</wp:posOffset>
                </wp:positionH>
                <wp:positionV relativeFrom="paragraph">
                  <wp:posOffset>-1317625</wp:posOffset>
                </wp:positionV>
                <wp:extent cx="109855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103.7499pt" to="541.3pt,-103.7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5775960</wp:posOffset>
                </wp:positionH>
                <wp:positionV relativeFrom="paragraph">
                  <wp:posOffset>-1162050</wp:posOffset>
                </wp:positionV>
                <wp:extent cx="109855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91.4999pt" to="541.3pt,-91.4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4748530</wp:posOffset>
                </wp:positionH>
                <wp:positionV relativeFrom="paragraph">
                  <wp:posOffset>-852805</wp:posOffset>
                </wp:positionV>
                <wp:extent cx="13525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9pt,-67.1499pt" to="384.55pt,-6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5775960</wp:posOffset>
                </wp:positionH>
                <wp:positionV relativeFrom="paragraph">
                  <wp:posOffset>-852805</wp:posOffset>
                </wp:positionV>
                <wp:extent cx="13716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67.1499pt" to="465.6pt,-6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-685800</wp:posOffset>
                </wp:positionV>
                <wp:extent cx="685927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54pt" to="541.3pt,-54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-484505</wp:posOffset>
                </wp:positionV>
                <wp:extent cx="383984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984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38.1499pt" to="303.55pt,-38.1499pt" o:allowincell="f" strokecolor="#FFFFFF" strokeweight="2.2799pt"/>
            </w:pict>
          </mc:Fallback>
        </mc:AlternateContent>
      </w:r>
    </w:p>
    <w:p>
      <w:pPr>
        <w:spacing w:after="0" w:line="167"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The Company excluded common stock options and Performance Awards outstanding for the years ended December 31, 2025, 2024 and 2023 from the calculation of net loss per share, diluted, because the effect of including outstanding options and Performance Awards would have been anti</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dilutive.</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Warrant Liabilities</w:t>
      </w:r>
    </w:p>
    <w:p>
      <w:pPr>
        <w:spacing w:after="0" w:line="228"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The Company accounts for warrants as either equity-classified or liability-classified instruments based on an assessment of the warrant’s specific terms and in accordance with the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4"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of the date of issuance, and each consolidated balance sheet date thereafter. Changes in the estimated fair value of liability classified warrants are recognized as a non-cash gain or loss on the statements of operations. Costs associated with issuing the warrants classified as derivative liabilities are charged to operations when the warrants are issued.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were no warrants outstanding at December 31, 2025 or 2024.</w:t>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84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92 / 117</w:t>
      </w:r>
    </w:p>
    <w:p>
      <w:pPr>
        <w:sectPr>
          <w:pgSz w:w="12240" w:h="15840" w:orient="portrait"/>
          <w:cols w:equalWidth="0" w:num="1">
            <w:col w:w="10820"/>
          </w:cols>
          <w:pgMar w:left="700" w:top="788" w:right="720" w:bottom="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28"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Financial instruments include accounts payable, accrued expenses, accrued development expense and other liabilities. The estimated fair value of certain financial instruments may be determined using available market information or other appropriate valuation methodologies. However, considerable judgment is required in interpreting market data to develop estimates of fair value; therefore, the estimates are not necessarily indicative of the amounts that could be realized or would be paid in a current market exchange. The effect of using different market assumptions and/or estimation methodologies may be material to the estimated fair value amounts. The carrying amounts of accounts payable, accrued expenses, accrued development expense and other liabilities are at cost, which approximates fair value due to the short maturity of those instruments.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Contracts, Prepaids and Accruals</w:t>
      </w:r>
    </w:p>
    <w:p>
      <w:pPr>
        <w:spacing w:after="0" w:line="23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The Company has entered into various research and development contracts with research institutions and other third-party vendors. These agreements are generally cancelable. Related payments are recorded as research and development expenses as incurred. The Company records prepaids and accruals for estimated ongoing research costs. When evaluating the adequacy of prepaid expenses and accrued liabilities, the Company analyzes progress of the studies including the phase or completion of events, invoices received and contracted costs. Significant judgments and estimates are made in determining the prepaid and accrued balances at the end of any reporting period. Actual results could differ from the Company’s estimates. The Company’s historical prepaid and accrual estimates have not been materially different from actual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Incentive Bonus Plan</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2020, the Company established the 2020 Cash Incentive Bonus Plan (the “CIB Plan”) to incentivize CIB Plan participants. Awards under the CIB Plan are accounted for as liability awards under ASC 718 “</w:t>
      </w:r>
      <w:r>
        <w:rPr>
          <w:rFonts w:ascii="Times New Roman" w:cs="Times New Roman" w:eastAsia="Times New Roman" w:hAnsi="Times New Roman"/>
          <w:sz w:val="20"/>
          <w:szCs w:val="20"/>
          <w:i w:val="1"/>
          <w:iCs w:val="1"/>
          <w:color w:val="auto"/>
        </w:rPr>
        <w:t>Stock-based Compensation</w:t>
      </w:r>
      <w:r>
        <w:rPr>
          <w:rFonts w:ascii="Times New Roman" w:cs="Times New Roman" w:eastAsia="Times New Roman" w:hAnsi="Times New Roman"/>
          <w:sz w:val="20"/>
          <w:szCs w:val="20"/>
          <w:color w:val="auto"/>
        </w:rPr>
        <w:t>”. The fair value of each potential CIB Plan award will be determined once a grant date occurs and will be remeasured each reporting period. Compensation expense associated with the CIB Plan will be recognized over the expected achievement period for each CIB Plan award, when a Performance Condition (as defined below) is considered probable of being met. See Note 11 for further discussion of the CIB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2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Property and equipment are recorded at cost, net of accumulated depreciation. Depreciation is recorded using the straight-line method over the estimated useful lives of the assets. Owned buildings and related improvements have estimated useful lives of 39 years and approximately 10 years, respectively. Tenant improvements are amortized using the straight-line method over the useful lives of the improvements or the remaining term of the corresponding leases, whichever is shorter.</w:t>
      </w:r>
    </w:p>
    <w:p>
      <w:pPr>
        <w:spacing w:after="0" w:line="186" w:lineRule="exact"/>
        <w:rPr>
          <w:sz w:val="20"/>
          <w:szCs w:val="20"/>
          <w:color w:val="auto"/>
        </w:rPr>
      </w:pPr>
    </w:p>
    <w:p>
      <w:pPr>
        <w:jc w:val="both"/>
        <w:ind w:right="20" w:firstLine="360"/>
        <w:spacing w:after="0" w:line="275" w:lineRule="auto"/>
        <w:rPr>
          <w:sz w:val="20"/>
          <w:szCs w:val="20"/>
          <w:color w:val="auto"/>
        </w:rPr>
      </w:pPr>
      <w:r>
        <w:rPr>
          <w:rFonts w:ascii="Times New Roman" w:cs="Times New Roman" w:eastAsia="Times New Roman" w:hAnsi="Times New Roman"/>
          <w:sz w:val="20"/>
          <w:szCs w:val="20"/>
          <w:color w:val="auto"/>
        </w:rPr>
        <w:t>Property and equipment are reviewed for impairment when events or changes in circumstances indicate the carrying amount of an asset may not be recoverable. If property and equipment are considered to be impaired, an impairment loss is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Recoveries</w:t>
      </w:r>
    </w:p>
    <w:p>
      <w:pPr>
        <w:spacing w:after="0" w:line="23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We record proceeds from our insurance policies when the loss event has occurred, and proceeds are estimable and probable of being recovered. Insurance recoveries and proceeds received are recorded as a reduction to general and administrative expense. There were no insurance recoveries during the year ended December 31, 2025. There was approximately $9.9 million and $0.1 million of insurance recoveries recorded during the year ended December 31, 2024 and 2023,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93 / 117</w:t>
      </w:r>
    </w:p>
    <w:p>
      <w:pPr>
        <w:sectPr>
          <w:pgSz w:w="12240" w:h="15840" w:orient="portrait"/>
          <w:cols w:equalWidth="0" w:num="1">
            <w:col w:w="10800"/>
          </w:cols>
          <w:pgMar w:left="720" w:top="788" w:right="720" w:bottom="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Related Party Transactions</w:t>
      </w:r>
    </w:p>
    <w:p>
      <w:pPr>
        <w:spacing w:after="0" w:line="22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July 15, 2024, our former President and Chief Executive Officer resigned from the Company, effective as of September 13, 2024 (the “Effective Date”). Pursuant to the terms of his employment agreement, our former President and Chief Executive Officer received severance compensation equal to $1.23 million paid ratably over twelve months following the Effective Date. The full amount of severance compensation was included in general and administrative expense in the period the resignation was tendered. There was no severance compensation relating to this agreement recognized during the year ended December 31, 2025.</w:t>
      </w:r>
    </w:p>
    <w:p>
      <w:pPr>
        <w:spacing w:after="0" w:line="187" w:lineRule="exact"/>
        <w:rPr>
          <w:sz w:val="20"/>
          <w:szCs w:val="20"/>
          <w:color w:val="auto"/>
        </w:rPr>
      </w:pPr>
    </w:p>
    <w:p>
      <w:pPr>
        <w:jc w:val="both"/>
        <w:ind w:firstLine="360"/>
        <w:spacing w:after="0" w:line="304" w:lineRule="auto"/>
        <w:rPr>
          <w:sz w:val="20"/>
          <w:szCs w:val="20"/>
          <w:color w:val="auto"/>
        </w:rPr>
      </w:pPr>
      <w:r>
        <w:rPr>
          <w:rFonts w:ascii="Times New Roman" w:cs="Times New Roman" w:eastAsia="Times New Roman" w:hAnsi="Times New Roman"/>
          <w:sz w:val="19"/>
          <w:szCs w:val="19"/>
          <w:color w:val="auto"/>
        </w:rPr>
        <w:t>The previously disclosed September 13, 2024 consulting agreement with our former President and Chief Executive Officer was terminated effective January 23, 2025. Total consulting fees paid were de minimis through the termination of the consulting agreement.</w:t>
      </w:r>
    </w:p>
    <w:p>
      <w:pPr>
        <w:spacing w:after="0" w:line="13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July 16, 2024, our former Senior Vice President (SVP), Neuroscience agreed to step down from her employment with the Company, effective immediately. Our former SVP, Neuroscience is the spouse of our former President and Chief Executive Officer. Pursuant to a separation agreement, our former SVP, Neuroscience received severance compensation equal to $0.5 million paid in quarterly installments over twelve months. The full amount of severance compensation was included in research and development expense in the period the agreement providing for severance was executed. There was no severance compensation relating to this agreement recognized during the year ended December 31, 2025.</w:t>
      </w:r>
    </w:p>
    <w:p>
      <w:pPr>
        <w:spacing w:after="0" w:line="190" w:lineRule="exact"/>
        <w:rPr>
          <w:sz w:val="20"/>
          <w:szCs w:val="20"/>
          <w:color w:val="auto"/>
        </w:rPr>
      </w:pPr>
    </w:p>
    <w:p>
      <w:pPr>
        <w:jc w:val="both"/>
        <w:ind w:firstLine="360"/>
        <w:spacing w:after="0" w:line="275" w:lineRule="auto"/>
        <w:rPr>
          <w:sz w:val="20"/>
          <w:szCs w:val="20"/>
          <w:color w:val="auto"/>
        </w:rPr>
      </w:pPr>
      <w:r>
        <w:rPr>
          <w:rFonts w:ascii="Times New Roman" w:cs="Times New Roman" w:eastAsia="Times New Roman" w:hAnsi="Times New Roman"/>
          <w:sz w:val="20"/>
          <w:szCs w:val="20"/>
          <w:color w:val="auto"/>
        </w:rPr>
        <w:t>There was no accrued compensation and benefits for the two former senior officers at December 31, 2025. There was $1.2 million of accrued severance costs for the two former senior officers included in accrued compensation and benefits at December 31, 2024.</w:t>
      </w:r>
    </w:p>
    <w:p>
      <w:pPr>
        <w:spacing w:after="0" w:line="16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July 16, 2024, the Company entered into a one-year consulting agreement with the Company’s former SVP, Neuroscience. Pursuant to the terms of the consulting agreement, the consultant provided services for purposes of providing information and support for scientific research and/or obtaining governmental approval for the Company’s products. The Company incurred fees totaling $20,000 and $43,000 under the consulting agreement during the years ended December 31, 2025 and 2024, respectively. The consulting agreement terminated in July 2025.</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On June 20, 2025, the Company entered into a one-year consulting agreement with the Company’s former Chief Medical Officer. Pursuant to the terms of the consulting agreement, the consultant provided services relating to Company manuscripts and publications. The Company incurred fees totaling $42,000 under the consulting agreement during the year ended December 31, 2025.</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1"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Company has accumulated significant deferred tax assets that reflect the tax effects of net operating loss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w:t>
      </w:r>
    </w:p>
    <w:p>
      <w:pPr>
        <w:spacing w:after="0" w:line="191"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The Company accounts for uncertain tax positions in accordance with ASC 740, “Income Taxes”, which clarifies the accounting for uncertainty in tax positions. These provisions require recognition of the impact of a tax position in the Company’s consolidated financial statements only if that position is more likely than not of being sustained upon examination by taxing authorities, based on the technical merits of the position. Any interest and penalties related to uncertain tax positions will be reflected as a component of income tax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The ASU requires that an entity disclose specific categories in the effective tax rate reconciliation as well as reconciling items that meet a quantitative threshold. Further, the ASU requires additional disclosures on income tax expense and taxes paid, net of refunds received, by jurisdiction. The new standard is effective for annual periods beginning after December 15, 2024 on a prospective basis with the option to apply it retrospectively. The Company adopted this guidance effective December 31, 2025 on a prospective basis.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94 / 117</w:t>
      </w:r>
    </w:p>
    <w:p>
      <w:pPr>
        <w:sectPr>
          <w:pgSz w:w="12240" w:h="15840" w:orient="portrait"/>
          <w:cols w:equalWidth="0" w:num="1">
            <w:col w:w="10820"/>
          </w:cols>
          <w:pgMar w:left="700" w:top="788" w:right="720" w:bottom="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Guidance Issued But Not Adopted as of December 31, 2025</w:t>
      </w:r>
    </w:p>
    <w:p>
      <w:pPr>
        <w:spacing w:after="0" w:line="228" w:lineRule="exact"/>
        <w:rPr>
          <w:sz w:val="20"/>
          <w:szCs w:val="20"/>
          <w:color w:val="auto"/>
        </w:rPr>
      </w:pPr>
    </w:p>
    <w:p>
      <w:pPr>
        <w:jc w:val="both"/>
        <w:ind w:firstLine="360"/>
        <w:spacing w:after="0" w:line="244"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(Subtopic 220-40): Disaggregation of Income Statement Expenses. This ASU includes amendments that require entities to bifurcate specified expense line items on the income statement into underlying components, including employee compensation, depreciation, and intangible asset amortization, as applicable. Qualitative descriptions of the remaining components are required. These enhanced disclosures are required for both interim and annual periods. In January 2025, the FASB subsequently issued ASU 2025-01, Income Statement—Reporting Comprehensive Income—Expense Disaggregation Disclosures (Subtopic 220-40): Clarifying the Effective Date, to provide clarification on the ASU's effective date. The new standard is effective for fiscal years beginning after December 15, 2026 on a prospective basis with the option to apply it retrospectively, and for interim periods within fiscal years beginning after December 15, 2027. Early adoption is permitted. The adoption of this guidance will result in the Company being required to include enhanced disclosures around income statement expenses.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3. Prepaid Expenses and Other Current Assets</w:t>
      </w: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Prepaid expenses and other current assets at December 31, 2025 and 2024 consisted of the following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757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7570" w:type="dxa"/>
            <w:vAlign w:val="bottom"/>
            <w:tcBorders>
              <w:bottom w:val="single" w:sz="8" w:color="E3E3E3"/>
            </w:tcBorders>
          </w:tcPr>
          <w:p>
            <w:pPr>
              <w:spacing w:after="0"/>
              <w:rPr>
                <w:sz w:val="20"/>
                <w:szCs w:val="20"/>
                <w:color w:val="auto"/>
              </w:rPr>
            </w:pPr>
          </w:p>
        </w:tc>
        <w:tc>
          <w:tcPr>
            <w:tcW w:w="110" w:type="dxa"/>
            <w:vAlign w:val="bottom"/>
            <w:tcBorders>
              <w:bottom w:val="single" w:sz="8" w:color="E3E3E3"/>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E3E3E3"/>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E3E3E3"/>
            </w:tcBorders>
          </w:tcPr>
          <w:p>
            <w:pPr>
              <w:spacing w:after="0"/>
              <w:rPr>
                <w:sz w:val="20"/>
                <w:szCs w:val="20"/>
                <w:color w:val="auto"/>
              </w:rPr>
            </w:pPr>
          </w:p>
        </w:tc>
      </w:tr>
      <w:tr>
        <w:trPr>
          <w:trHeight w:val="232"/>
        </w:trPr>
        <w:tc>
          <w:tcPr>
            <w:tcW w:w="757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10" w:type="dxa"/>
            <w:vAlign w:val="bottom"/>
            <w:tcBorders>
              <w:right w:val="single" w:sz="8" w:color="E3E3E3"/>
            </w:tcBorders>
            <w:shd w:val="clear" w:color="auto" w:fill="E3E3E3"/>
          </w:tcPr>
          <w:p>
            <w:pPr>
              <w:spacing w:after="0"/>
              <w:rPr>
                <w:sz w:val="20"/>
                <w:szCs w:val="20"/>
                <w:color w:val="auto"/>
              </w:rPr>
            </w:pPr>
          </w:p>
        </w:tc>
        <w:tc>
          <w:tcPr>
            <w:tcW w:w="900" w:type="dxa"/>
            <w:vAlign w:val="bottom"/>
            <w:shd w:val="clear" w:color="auto" w:fill="E3E3E3"/>
          </w:tcPr>
          <w:p>
            <w:pPr>
              <w:jc w:val="right"/>
              <w:ind w:right="70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220" w:type="dxa"/>
            <w:vAlign w:val="bottom"/>
            <w:tcBorders>
              <w:right w:val="single" w:sz="8" w:color="E3E3E3"/>
            </w:tcBorders>
            <w:shd w:val="clear" w:color="auto" w:fill="E3E3E3"/>
          </w:tcPr>
          <w:p>
            <w:pPr>
              <w:spacing w:after="0"/>
              <w:rPr>
                <w:sz w:val="20"/>
                <w:szCs w:val="20"/>
                <w:color w:val="auto"/>
              </w:rPr>
            </w:pPr>
          </w:p>
        </w:tc>
        <w:tc>
          <w:tcPr>
            <w:tcW w:w="480" w:type="dxa"/>
            <w:vAlign w:val="bottom"/>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800</w:t>
            </w:r>
          </w:p>
        </w:tc>
        <w:tc>
          <w:tcPr>
            <w:tcW w:w="100" w:type="dxa"/>
            <w:vAlign w:val="bottom"/>
            <w:shd w:val="clear" w:color="auto" w:fill="E3E3E3"/>
          </w:tcPr>
          <w:p>
            <w:pPr>
              <w:spacing w:after="0"/>
              <w:rPr>
                <w:sz w:val="20"/>
                <w:szCs w:val="20"/>
                <w:color w:val="auto"/>
              </w:rPr>
            </w:pPr>
          </w:p>
        </w:tc>
      </w:tr>
      <w:tr>
        <w:trPr>
          <w:trHeight w:val="240"/>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Contract research organization and other deposits</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6,173</w:t>
            </w:r>
          </w:p>
        </w:tc>
        <w:tc>
          <w:tcPr>
            <w:tcW w:w="100" w:type="dxa"/>
            <w:vAlign w:val="bottom"/>
          </w:tcPr>
          <w:p>
            <w:pPr>
              <w:spacing w:after="0"/>
              <w:rPr>
                <w:sz w:val="20"/>
                <w:szCs w:val="20"/>
                <w:color w:val="auto"/>
              </w:rPr>
            </w:pPr>
          </w:p>
        </w:tc>
      </w:tr>
      <w:tr>
        <w:trPr>
          <w:trHeight w:val="240"/>
        </w:trPr>
        <w:tc>
          <w:tcPr>
            <w:tcW w:w="757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110" w:type="dxa"/>
            <w:vAlign w:val="bottom"/>
            <w:tcBorders>
              <w:right w:val="single" w:sz="8" w:color="E3E3E3"/>
            </w:tcBorders>
            <w:shd w:val="clear" w:color="auto" w:fill="E3E3E3"/>
          </w:tcPr>
          <w:p>
            <w:pPr>
              <w:spacing w:after="0"/>
              <w:rPr>
                <w:sz w:val="20"/>
                <w:szCs w:val="20"/>
                <w:color w:val="auto"/>
              </w:rPr>
            </w:pPr>
          </w:p>
        </w:tc>
        <w:tc>
          <w:tcPr>
            <w:tcW w:w="900" w:type="dxa"/>
            <w:vAlign w:val="bottom"/>
            <w:shd w:val="clear" w:color="auto" w:fill="E3E3E3"/>
          </w:tcPr>
          <w:p>
            <w:pPr>
              <w:spacing w:after="0"/>
              <w:rPr>
                <w:sz w:val="20"/>
                <w:szCs w:val="20"/>
                <w:color w:val="auto"/>
              </w:rPr>
            </w:pP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220" w:type="dxa"/>
            <w:vAlign w:val="bottom"/>
            <w:tcBorders>
              <w:right w:val="single" w:sz="8" w:color="E3E3E3"/>
            </w:tcBorders>
            <w:shd w:val="clear" w:color="auto" w:fill="E3E3E3"/>
          </w:tcPr>
          <w:p>
            <w:pPr>
              <w:spacing w:after="0"/>
              <w:rPr>
                <w:sz w:val="20"/>
                <w:szCs w:val="20"/>
                <w:color w:val="auto"/>
              </w:rPr>
            </w:pPr>
          </w:p>
        </w:tc>
        <w:tc>
          <w:tcPr>
            <w:tcW w:w="48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100" w:type="dxa"/>
            <w:vAlign w:val="bottom"/>
            <w:shd w:val="clear" w:color="auto" w:fill="E3E3E3"/>
          </w:tcPr>
          <w:p>
            <w:pPr>
              <w:spacing w:after="0"/>
              <w:rPr>
                <w:sz w:val="20"/>
                <w:szCs w:val="20"/>
                <w:color w:val="auto"/>
              </w:rPr>
            </w:pPr>
          </w:p>
        </w:tc>
      </w:tr>
      <w:tr>
        <w:trPr>
          <w:trHeight w:val="242"/>
        </w:trPr>
        <w:tc>
          <w:tcPr>
            <w:tcW w:w="7680" w:type="dxa"/>
            <w:vAlign w:val="bottom"/>
            <w:tcBorders>
              <w:bottom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Borders>
              <w:bottom w:val="single" w:sz="8" w:color="E3E3E3"/>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100" w:type="dxa"/>
            <w:vAlign w:val="bottom"/>
            <w:tcBorders>
              <w:bottom w:val="single" w:sz="8" w:color="E3E3E3"/>
            </w:tcBorders>
          </w:tcPr>
          <w:p>
            <w:pPr>
              <w:spacing w:after="0"/>
              <w:rPr>
                <w:sz w:val="21"/>
                <w:szCs w:val="21"/>
                <w:color w:val="auto"/>
              </w:rPr>
            </w:pPr>
          </w:p>
        </w:tc>
      </w:tr>
      <w:tr>
        <w:trPr>
          <w:trHeight w:val="274"/>
        </w:trPr>
        <w:tc>
          <w:tcPr>
            <w:tcW w:w="7570" w:type="dxa"/>
            <w:vAlign w:val="bottom"/>
            <w:tcBorders>
              <w:bottom w:val="single" w:sz="8" w:color="E3E3E3"/>
            </w:tcBorders>
            <w:shd w:val="clear" w:color="auto" w:fill="E3E3E3"/>
          </w:tcPr>
          <w:p>
            <w:pPr>
              <w:ind w:left="180"/>
              <w:spacing w:after="0" w:line="225" w:lineRule="exact"/>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110" w:type="dxa"/>
            <w:vAlign w:val="bottom"/>
            <w:tcBorders>
              <w:bottom w:val="single" w:sz="8" w:color="E3E3E3"/>
              <w:right w:val="single" w:sz="8" w:color="E3E3E3"/>
            </w:tcBorders>
            <w:shd w:val="clear" w:color="auto" w:fill="E3E3E3"/>
          </w:tcPr>
          <w:p>
            <w:pPr>
              <w:spacing w:after="0"/>
              <w:rPr>
                <w:sz w:val="23"/>
                <w:szCs w:val="23"/>
                <w:color w:val="auto"/>
              </w:rPr>
            </w:pPr>
          </w:p>
        </w:tc>
        <w:tc>
          <w:tcPr>
            <w:tcW w:w="900" w:type="dxa"/>
            <w:vAlign w:val="bottom"/>
            <w:tcBorders>
              <w:bottom w:val="single" w:sz="8" w:color="E3E3E3"/>
            </w:tcBorders>
            <w:shd w:val="clear" w:color="auto" w:fill="E3E3E3"/>
          </w:tcPr>
          <w:p>
            <w:pPr>
              <w:jc w:val="right"/>
              <w:ind w:right="70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5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2,207</w:t>
            </w:r>
          </w:p>
        </w:tc>
        <w:tc>
          <w:tcPr>
            <w:tcW w:w="220" w:type="dxa"/>
            <w:vAlign w:val="bottom"/>
            <w:tcBorders>
              <w:bottom w:val="single" w:sz="8" w:color="E3E3E3"/>
              <w:right w:val="single" w:sz="8" w:color="E3E3E3"/>
            </w:tcBorders>
            <w:shd w:val="clear" w:color="auto" w:fill="E3E3E3"/>
          </w:tcPr>
          <w:p>
            <w:pPr>
              <w:spacing w:after="0"/>
              <w:rPr>
                <w:sz w:val="23"/>
                <w:szCs w:val="23"/>
                <w:color w:val="auto"/>
              </w:rPr>
            </w:pPr>
          </w:p>
        </w:tc>
        <w:tc>
          <w:tcPr>
            <w:tcW w:w="480" w:type="dxa"/>
            <w:vAlign w:val="bottom"/>
            <w:tcBorders>
              <w:bottom w:val="single" w:sz="8" w:color="E3E3E3"/>
            </w:tcBorders>
            <w:shd w:val="clear" w:color="auto" w:fill="E3E3E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7,958</w:t>
            </w:r>
          </w:p>
        </w:tc>
        <w:tc>
          <w:tcPr>
            <w:tcW w:w="100" w:type="dxa"/>
            <w:vAlign w:val="bottom"/>
            <w:tcBorders>
              <w:bottom w:val="single" w:sz="8" w:color="E3E3E3"/>
            </w:tcBorders>
            <w:shd w:val="clear" w:color="auto" w:fill="E3E3E3"/>
          </w:tcPr>
          <w:p>
            <w:pPr>
              <w:spacing w:after="0"/>
              <w:rPr>
                <w:sz w:val="23"/>
                <w:szCs w:val="23"/>
                <w:color w:val="auto"/>
              </w:rPr>
            </w:pPr>
          </w:p>
        </w:tc>
      </w:tr>
      <w:tr>
        <w:trPr>
          <w:trHeight w:val="20"/>
        </w:trPr>
        <w:tc>
          <w:tcPr>
            <w:tcW w:w="757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900" w:type="dxa"/>
            <w:vAlign w:val="bottom"/>
            <w:tcBorders>
              <w:top w:val="single" w:sz="8" w:color="E3E3E3"/>
            </w:tcBorders>
            <w:shd w:val="clear" w:color="auto" w:fill="000000"/>
          </w:tcPr>
          <w:p>
            <w:pPr>
              <w:spacing w:after="0" w:line="20" w:lineRule="exact"/>
              <w:rPr>
                <w:sz w:val="1"/>
                <w:szCs w:val="1"/>
                <w:color w:val="auto"/>
              </w:rPr>
            </w:pPr>
          </w:p>
        </w:tc>
        <w:tc>
          <w:tcPr>
            <w:tcW w:w="500" w:type="dxa"/>
            <w:vAlign w:val="bottom"/>
            <w:tcBorders>
              <w:top w:val="single" w:sz="8" w:color="E3E3E3"/>
            </w:tcBorders>
            <w:shd w:val="clear" w:color="auto" w:fill="000000"/>
          </w:tcPr>
          <w:p>
            <w:pPr>
              <w:spacing w:after="0" w:line="20" w:lineRule="exact"/>
              <w:rPr>
                <w:sz w:val="1"/>
                <w:szCs w:val="1"/>
                <w:color w:val="auto"/>
              </w:rPr>
            </w:pPr>
          </w:p>
        </w:tc>
        <w:tc>
          <w:tcPr>
            <w:tcW w:w="220" w:type="dxa"/>
            <w:vAlign w:val="bottom"/>
            <w:tcBorders>
              <w:top w:val="single" w:sz="8" w:color="E3E3E3"/>
              <w:right w:val="single" w:sz="8" w:color="auto"/>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-350520</wp:posOffset>
                </wp:positionV>
                <wp:extent cx="685927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27.5999pt" to="541.3pt,-27.5999pt" o:allowincell="f" strokecolor="#FFFFFF" strokeweight="0.24pt"/>
            </w:pict>
          </mc:Fallback>
        </mc:AlternateConten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Contract research organization and other deposits represent cash payments made to vendors in excess of expenses incurred.</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4. Real Property and Other Income, Expense</w:t>
      </w:r>
    </w:p>
    <w:p>
      <w:pPr>
        <w:spacing w:after="0" w:line="235" w:lineRule="exact"/>
        <w:rPr>
          <w:sz w:val="20"/>
          <w:szCs w:val="20"/>
          <w:color w:val="auto"/>
        </w:rPr>
      </w:pPr>
    </w:p>
    <w:p>
      <w:pPr>
        <w:jc w:val="both"/>
        <w:ind w:left="20" w:firstLine="360"/>
        <w:spacing w:after="0" w:line="249" w:lineRule="auto"/>
        <w:rPr>
          <w:sz w:val="20"/>
          <w:szCs w:val="20"/>
          <w:color w:val="auto"/>
        </w:rPr>
      </w:pPr>
      <w:r>
        <w:rPr>
          <w:rFonts w:ascii="Times New Roman" w:cs="Times New Roman" w:eastAsia="Times New Roman" w:hAnsi="Times New Roman"/>
          <w:sz w:val="20"/>
          <w:szCs w:val="20"/>
          <w:color w:val="auto"/>
        </w:rPr>
        <w:t>The Company owns a two-building office complex in Austin, Texas, a portion of which serves as its corporate headquarters. Maintenance, physical facilities, leasing, property management and other key responsibilities related to property ownership are outsourced to professional real -estate managers. The office complex has approximately 90,000 square feet of rentable space. At December 31, 2025, the Company occupied approximately 25% of the property with the remainder either leased or available for lease to third parties.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95 / 117</w:t>
      </w:r>
    </w:p>
    <w:p>
      <w:pPr>
        <w:sectPr>
          <w:pgSz w:w="12240" w:h="15840" w:orient="portrait"/>
          <w:cols w:equalWidth="0" w:num="1">
            <w:col w:w="10820"/>
          </w:cols>
          <w:pgMar w:left="700" w:top="788" w:right="720" w:bottom="0" w:gutter="0" w:footer="0" w:header="0"/>
        </w:sectPr>
      </w:pPr>
    </w:p>
    <w:bookmarkStart w:id="95" w:name="page96"/>
    <w:bookmarkEnd w:id="95"/>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Company records the net income from building operations and leases as other income, net, as leasing is not core to the Company’s operations. Building depreciation and amortization for space not occupied by the Company is included in general and administrative expense. Building depreciation and amortization for space occupied by the Company is allocated between general and administrative expense and research and development expense. Components of other income, net, for the periods presented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2"/>
        </w:trPr>
        <w:tc>
          <w:tcPr>
            <w:tcW w:w="595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595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595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Lease revenue</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960" w:type="dxa"/>
            <w:vAlign w:val="bottom"/>
            <w:tcBorders>
              <w:bottom w:val="single" w:sz="8" w:color="E3E3E3"/>
            </w:tcBorders>
            <w:shd w:val="clear" w:color="auto" w:fill="E3E3E3"/>
          </w:tcPr>
          <w:p>
            <w:pPr>
              <w:jc w:val="right"/>
              <w:ind w:right="76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4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533</w:t>
            </w:r>
          </w:p>
        </w:tc>
        <w:tc>
          <w:tcPr>
            <w:tcW w:w="2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1,244</w:t>
            </w:r>
          </w:p>
        </w:tc>
        <w:tc>
          <w:tcPr>
            <w:tcW w:w="20" w:type="dxa"/>
            <w:vAlign w:val="bottom"/>
          </w:tcPr>
          <w:p>
            <w:pPr>
              <w:spacing w:after="0"/>
              <w:rPr>
                <w:sz w:val="20"/>
                <w:szCs w:val="20"/>
                <w:color w:val="auto"/>
              </w:rPr>
            </w:pPr>
          </w:p>
        </w:tc>
        <w:tc>
          <w:tcPr>
            <w:tcW w:w="200" w:type="dxa"/>
            <w:vAlign w:val="bottom"/>
            <w:tcBorders>
              <w:bottom w:val="single" w:sz="8" w:color="E3E3E3"/>
              <w:right w:val="single" w:sz="8" w:color="E3E3E3"/>
            </w:tcBorders>
            <w:shd w:val="clear" w:color="auto" w:fill="E3E3E3"/>
          </w:tcPr>
          <w:p>
            <w:pPr>
              <w:spacing w:after="0"/>
              <w:rPr>
                <w:sz w:val="20"/>
                <w:szCs w:val="20"/>
                <w:color w:val="auto"/>
              </w:rPr>
            </w:pPr>
          </w:p>
        </w:tc>
        <w:tc>
          <w:tcPr>
            <w:tcW w:w="360" w:type="dxa"/>
            <w:vAlign w:val="bottom"/>
            <w:tcBorders>
              <w:bottom w:val="single" w:sz="8" w:color="E3E3E3"/>
            </w:tcBorders>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2,283</w:t>
            </w: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r>
      <w:tr>
        <w:trPr>
          <w:trHeight w:val="225"/>
        </w:trPr>
        <w:tc>
          <w:tcPr>
            <w:tcW w:w="606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Property operating expenses</w:t>
            </w:r>
          </w:p>
        </w:tc>
        <w:tc>
          <w:tcPr>
            <w:tcW w:w="960" w:type="dxa"/>
            <w:vAlign w:val="bottom"/>
          </w:tcPr>
          <w:p>
            <w:pPr>
              <w:spacing w:after="0"/>
              <w:rPr>
                <w:sz w:val="19"/>
                <w:szCs w:val="19"/>
                <w:color w:val="auto"/>
              </w:rPr>
            </w:pPr>
          </w:p>
        </w:tc>
        <w:tc>
          <w:tcPr>
            <w:tcW w:w="660" w:type="dxa"/>
            <w:vAlign w:val="bottom"/>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(736)</w:t>
            </w:r>
          </w:p>
        </w:tc>
        <w:tc>
          <w:tcPr>
            <w:tcW w:w="100" w:type="dxa"/>
            <w:vAlign w:val="bottom"/>
          </w:tcPr>
          <w:p>
            <w:pPr>
              <w:spacing w:after="0"/>
              <w:rPr>
                <w:sz w:val="19"/>
                <w:szCs w:val="19"/>
                <w:color w:val="auto"/>
              </w:rPr>
            </w:pPr>
          </w:p>
        </w:tc>
        <w:tc>
          <w:tcPr>
            <w:tcW w:w="13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(833)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(1,376)</w:t>
            </w:r>
          </w:p>
        </w:tc>
        <w:tc>
          <w:tcPr>
            <w:tcW w:w="20" w:type="dxa"/>
            <w:vAlign w:val="bottom"/>
          </w:tcPr>
          <w:p>
            <w:pPr>
              <w:spacing w:after="0"/>
              <w:rPr>
                <w:sz w:val="19"/>
                <w:szCs w:val="19"/>
                <w:color w:val="auto"/>
              </w:rPr>
            </w:pPr>
          </w:p>
        </w:tc>
      </w:tr>
      <w:tr>
        <w:trPr>
          <w:trHeight w:val="261"/>
        </w:trPr>
        <w:tc>
          <w:tcPr>
            <w:tcW w:w="5950" w:type="dxa"/>
            <w:vAlign w:val="bottom"/>
            <w:tcBorders>
              <w:top w:val="single" w:sz="8" w:color="E3E3E3"/>
              <w:bottom w:val="single" w:sz="8" w:color="E3E3E3"/>
            </w:tcBorders>
            <w:shd w:val="clear" w:color="auto" w:fill="E3E3E3"/>
          </w:tcPr>
          <w:p>
            <w:pPr>
              <w:ind w:left="180"/>
              <w:spacing w:after="0" w:line="225" w:lineRule="exact"/>
              <w:rPr>
                <w:sz w:val="20"/>
                <w:szCs w:val="20"/>
                <w:color w:val="auto"/>
              </w:rPr>
            </w:pPr>
            <w:r>
              <w:rPr>
                <w:rFonts w:ascii="Times New Roman" w:cs="Times New Roman" w:eastAsia="Times New Roman" w:hAnsi="Times New Roman"/>
                <w:sz w:val="20"/>
                <w:szCs w:val="20"/>
                <w:color w:val="auto"/>
              </w:rPr>
              <w:t>Other income (loss), net</w:t>
            </w:r>
          </w:p>
        </w:tc>
        <w:tc>
          <w:tcPr>
            <w:tcW w:w="110" w:type="dxa"/>
            <w:vAlign w:val="bottom"/>
            <w:tcBorders>
              <w:top w:val="single" w:sz="8" w:color="E3E3E3"/>
              <w:bottom w:val="single" w:sz="8" w:color="E3E3E3"/>
              <w:right w:val="single" w:sz="8" w:color="E3E3E3"/>
            </w:tcBorders>
            <w:shd w:val="clear" w:color="auto" w:fill="E3E3E3"/>
          </w:tcPr>
          <w:p>
            <w:pPr>
              <w:spacing w:after="0"/>
              <w:rPr>
                <w:sz w:val="22"/>
                <w:szCs w:val="22"/>
                <w:color w:val="auto"/>
              </w:rPr>
            </w:pPr>
          </w:p>
        </w:tc>
        <w:tc>
          <w:tcPr>
            <w:tcW w:w="960" w:type="dxa"/>
            <w:vAlign w:val="bottom"/>
            <w:tcBorders>
              <w:top w:val="single" w:sz="8" w:color="auto"/>
              <w:bottom w:val="single" w:sz="8" w:color="E3E3E3"/>
            </w:tcBorders>
            <w:shd w:val="clear" w:color="auto" w:fill="E3E3E3"/>
          </w:tcPr>
          <w:p>
            <w:pPr>
              <w:jc w:val="right"/>
              <w:ind w:right="76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44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96"/>
              </w:rPr>
              <w:t>(203)</w:t>
            </w:r>
          </w:p>
        </w:tc>
        <w:tc>
          <w:tcPr>
            <w:tcW w:w="220" w:type="dxa"/>
            <w:vAlign w:val="bottom"/>
            <w:tcBorders>
              <w:top w:val="single" w:sz="8" w:color="E3E3E3"/>
              <w:bottom w:val="single" w:sz="8" w:color="E3E3E3"/>
              <w:right w:val="single" w:sz="8" w:color="E3E3E3"/>
            </w:tcBorders>
            <w:shd w:val="clear" w:color="auto" w:fill="E3E3E3"/>
          </w:tcPr>
          <w:p>
            <w:pPr>
              <w:spacing w:after="0"/>
              <w:rPr>
                <w:sz w:val="22"/>
                <w:szCs w:val="22"/>
                <w:color w:val="auto"/>
              </w:rPr>
            </w:pPr>
          </w:p>
        </w:tc>
        <w:tc>
          <w:tcPr>
            <w:tcW w:w="1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411</w:t>
            </w:r>
          </w:p>
        </w:tc>
        <w:tc>
          <w:tcPr>
            <w:tcW w:w="20" w:type="dxa"/>
            <w:vAlign w:val="bottom"/>
            <w:tcBorders>
              <w:bottom w:val="single" w:sz="8" w:color="E3E3E3"/>
            </w:tcBorders>
          </w:tcPr>
          <w:p>
            <w:pPr>
              <w:spacing w:after="0"/>
              <w:rPr>
                <w:sz w:val="22"/>
                <w:szCs w:val="22"/>
                <w:color w:val="auto"/>
              </w:rPr>
            </w:pPr>
          </w:p>
        </w:tc>
        <w:tc>
          <w:tcPr>
            <w:tcW w:w="200" w:type="dxa"/>
            <w:vAlign w:val="bottom"/>
            <w:tcBorders>
              <w:top w:val="single" w:sz="8" w:color="E3E3E3"/>
              <w:bottom w:val="single" w:sz="8" w:color="E3E3E3"/>
              <w:right w:val="single" w:sz="8" w:color="E3E3E3"/>
            </w:tcBorders>
            <w:shd w:val="clear" w:color="auto" w:fill="E3E3E3"/>
          </w:tcPr>
          <w:p>
            <w:pPr>
              <w:spacing w:after="0"/>
              <w:rPr>
                <w:sz w:val="22"/>
                <w:szCs w:val="22"/>
                <w:color w:val="auto"/>
              </w:rPr>
            </w:pPr>
          </w:p>
        </w:tc>
        <w:tc>
          <w:tcPr>
            <w:tcW w:w="360" w:type="dxa"/>
            <w:vAlign w:val="bottom"/>
            <w:tcBorders>
              <w:top w:val="single" w:sz="8" w:color="auto"/>
              <w:bottom w:val="single" w:sz="8" w:color="E3E3E3"/>
            </w:tcBorders>
            <w:shd w:val="clear" w:color="auto" w:fill="E3E3E3"/>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907</w:t>
            </w:r>
          </w:p>
        </w:tc>
        <w:tc>
          <w:tcPr>
            <w:tcW w:w="100" w:type="dxa"/>
            <w:vAlign w:val="bottom"/>
            <w:tcBorders>
              <w:top w:val="single" w:sz="8" w:color="E3E3E3"/>
              <w:bottom w:val="single" w:sz="8" w:color="E3E3E3"/>
            </w:tcBorders>
            <w:shd w:val="clear" w:color="auto" w:fill="E3E3E3"/>
          </w:tcPr>
          <w:p>
            <w:pPr>
              <w:spacing w:after="0"/>
              <w:rPr>
                <w:sz w:val="22"/>
                <w:szCs w:val="22"/>
                <w:color w:val="auto"/>
              </w:rPr>
            </w:pPr>
          </w:p>
        </w:tc>
        <w:tc>
          <w:tcPr>
            <w:tcW w:w="20" w:type="dxa"/>
            <w:vAlign w:val="bottom"/>
            <w:tcBorders>
              <w:top w:val="single" w:sz="8" w:color="E3E3E3"/>
              <w:bottom w:val="single" w:sz="8" w:color="E3E3E3"/>
            </w:tcBorders>
            <w:shd w:val="clear" w:color="auto" w:fill="E3E3E3"/>
          </w:tcPr>
          <w:p>
            <w:pPr>
              <w:spacing w:after="0"/>
              <w:rPr>
                <w:sz w:val="22"/>
                <w:szCs w:val="22"/>
                <w:color w:val="auto"/>
              </w:rPr>
            </w:pPr>
          </w:p>
        </w:tc>
      </w:tr>
      <w:tr>
        <w:trPr>
          <w:trHeight w:val="20"/>
        </w:trPr>
        <w:tc>
          <w:tcPr>
            <w:tcW w:w="595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960" w:type="dxa"/>
            <w:vAlign w:val="bottom"/>
            <w:tcBorders>
              <w:top w:val="single" w:sz="8" w:color="E3E3E3"/>
            </w:tcBorders>
            <w:shd w:val="clear" w:color="auto" w:fill="000000"/>
          </w:tcPr>
          <w:p>
            <w:pPr>
              <w:spacing w:after="0" w:line="20" w:lineRule="exact"/>
              <w:rPr>
                <w:sz w:val="1"/>
                <w:szCs w:val="1"/>
                <w:color w:val="auto"/>
              </w:rPr>
            </w:pPr>
          </w:p>
        </w:tc>
        <w:tc>
          <w:tcPr>
            <w:tcW w:w="440" w:type="dxa"/>
            <w:vAlign w:val="bottom"/>
            <w:tcBorders>
              <w:top w:val="single" w:sz="8" w:color="E3E3E3"/>
            </w:tcBorders>
            <w:shd w:val="clear" w:color="auto" w:fill="000000"/>
          </w:tcPr>
          <w:p>
            <w:pPr>
              <w:spacing w:after="0" w:line="20" w:lineRule="exact"/>
              <w:rPr>
                <w:sz w:val="1"/>
                <w:szCs w:val="1"/>
                <w:color w:val="auto"/>
              </w:rPr>
            </w:pPr>
          </w:p>
        </w:tc>
        <w:tc>
          <w:tcPr>
            <w:tcW w:w="22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20" w:type="dxa"/>
            <w:vAlign w:val="bottom"/>
            <w:tcBorders>
              <w:top w:val="single" w:sz="8" w:color="E3E3E3"/>
            </w:tcBorders>
          </w:tcPr>
          <w:p>
            <w:pPr>
              <w:spacing w:after="0" w:line="20" w:lineRule="exact"/>
              <w:rPr>
                <w:sz w:val="1"/>
                <w:szCs w:val="1"/>
                <w:color w:val="auto"/>
              </w:rPr>
            </w:pPr>
          </w:p>
        </w:tc>
      </w:tr>
    </w:tbl>
    <w:p>
      <w:pPr>
        <w:spacing w:after="0" w:line="21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Company had accrued property taxes related to the building totaling $178,000 and $254,000 at December 31, 2025 and 2024, respectively, included in other current liabilities.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Gross rental income under existing third-party leases at December 31, 2025 is as follows (in millions):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 ending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0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2026</w:t>
            </w:r>
          </w:p>
        </w:tc>
        <w:tc>
          <w:tcPr>
            <w:tcW w:w="4670" w:type="dxa"/>
            <w:vAlign w:val="bottom"/>
            <w:shd w:val="clear" w:color="auto" w:fill="E3E3E3"/>
          </w:tcPr>
          <w:p>
            <w:pPr>
              <w:spacing w:after="0"/>
              <w:rPr>
                <w:sz w:val="21"/>
                <w:szCs w:val="21"/>
                <w:color w:val="auto"/>
              </w:rPr>
            </w:pPr>
          </w:p>
        </w:tc>
        <w:tc>
          <w:tcPr>
            <w:tcW w:w="9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48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67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2028</w:t>
            </w:r>
          </w:p>
        </w:tc>
        <w:tc>
          <w:tcPr>
            <w:tcW w:w="4670" w:type="dxa"/>
            <w:vAlign w:val="bottom"/>
            <w:shd w:val="clear" w:color="auto" w:fill="E3E3E3"/>
          </w:tcPr>
          <w:p>
            <w:pPr>
              <w:spacing w:after="0"/>
              <w:rPr>
                <w:sz w:val="20"/>
                <w:szCs w:val="20"/>
                <w:color w:val="auto"/>
              </w:rPr>
            </w:pPr>
          </w:p>
        </w:tc>
        <w:tc>
          <w:tcPr>
            <w:tcW w:w="9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8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467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80" w:type="dxa"/>
            <w:vAlign w:val="bottom"/>
            <w:gridSpan w:val="4"/>
            <w:shd w:val="clear" w:color="auto" w:fill="E3E3E3"/>
          </w:tcPr>
          <w:p>
            <w:pPr>
              <w:spacing w:after="0"/>
              <w:rPr>
                <w:sz w:val="20"/>
                <w:szCs w:val="20"/>
                <w:color w:val="auto"/>
              </w:rPr>
            </w:pPr>
            <w:r>
              <w:rPr>
                <w:rFonts w:ascii="Times New Roman" w:cs="Times New Roman" w:eastAsia="Times New Roman" w:hAnsi="Times New Roman"/>
                <w:sz w:val="20"/>
                <w:szCs w:val="20"/>
                <w:color w:val="auto"/>
              </w:rPr>
              <w:t>2030 and beyond</w:t>
            </w: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20" w:type="dxa"/>
            <w:vAlign w:val="bottom"/>
            <w:tcBorders>
              <w:bottom w:val="single" w:sz="8" w:color="auto"/>
            </w:tcBorders>
            <w:shd w:val="clear" w:color="auto" w:fill="E3E3E3"/>
          </w:tcPr>
          <w:p>
            <w:pPr>
              <w:spacing w:after="0"/>
              <w:rPr>
                <w:sz w:val="21"/>
                <w:szCs w:val="21"/>
                <w:color w:val="auto"/>
              </w:rPr>
            </w:pPr>
          </w:p>
        </w:tc>
        <w:tc>
          <w:tcPr>
            <w:tcW w:w="480" w:type="dxa"/>
            <w:vAlign w:val="bottom"/>
            <w:tcBorders>
              <w:bottom w:val="single" w:sz="8" w:color="auto"/>
            </w:tcBorders>
            <w:shd w:val="clear" w:color="auto" w:fill="E3E3E3"/>
          </w:tcPr>
          <w:p>
            <w:pPr>
              <w:spacing w:after="0"/>
              <w:rPr>
                <w:sz w:val="21"/>
                <w:szCs w:val="21"/>
                <w:color w:val="auto"/>
              </w:rPr>
            </w:pPr>
          </w:p>
        </w:tc>
        <w:tc>
          <w:tcPr>
            <w:tcW w:w="92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80" w:type="dxa"/>
            <w:vAlign w:val="bottom"/>
            <w:gridSpan w:val="4"/>
          </w:tcPr>
          <w:p>
            <w:pPr>
              <w:spacing w:after="0" w:line="225" w:lineRule="exact"/>
              <w:rPr>
                <w:sz w:val="20"/>
                <w:szCs w:val="20"/>
                <w:color w:val="auto"/>
              </w:rPr>
            </w:pPr>
            <w:r>
              <w:rPr>
                <w:rFonts w:ascii="Times New Roman" w:cs="Times New Roman" w:eastAsia="Times New Roman" w:hAnsi="Times New Roman"/>
                <w:sz w:val="20"/>
                <w:szCs w:val="20"/>
                <w:color w:val="auto"/>
              </w:rPr>
              <w:t>Total gross rental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b w:val="1"/>
                <w:bCs w:val="1"/>
                <w:color w:val="auto"/>
              </w:rPr>
              <w:t>5. Property and Equipment</w:t>
            </w: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8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6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9780" w:type="dxa"/>
            <w:vAlign w:val="bottom"/>
            <w:gridSpan w:val="9"/>
          </w:tcPr>
          <w:p>
            <w:pPr>
              <w:ind w:left="360"/>
              <w:spacing w:after="0"/>
              <w:rPr>
                <w:sz w:val="20"/>
                <w:szCs w:val="20"/>
                <w:color w:val="auto"/>
              </w:rPr>
            </w:pPr>
            <w:r>
              <w:rPr>
                <w:rFonts w:ascii="Times New Roman" w:cs="Times New Roman" w:eastAsia="Times New Roman" w:hAnsi="Times New Roman"/>
                <w:sz w:val="20"/>
                <w:szCs w:val="20"/>
                <w:color w:val="auto"/>
              </w:rPr>
              <w:t>The components of property and equipment, net, as of December 31, 2025 and 2024 were as follows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900" w:type="dxa"/>
            <w:vAlign w:val="bottom"/>
          </w:tcPr>
          <w:p>
            <w:pPr>
              <w:spacing w:after="0"/>
              <w:rPr>
                <w:sz w:val="24"/>
                <w:szCs w:val="24"/>
                <w:color w:val="auto"/>
              </w:rPr>
            </w:pPr>
          </w:p>
        </w:tc>
        <w:tc>
          <w:tcPr>
            <w:tcW w:w="467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00" w:type="dxa"/>
            <w:vAlign w:val="bottom"/>
            <w:tcBorders>
              <w:bottom w:val="single" w:sz="8" w:color="E3E3E3"/>
            </w:tcBorders>
          </w:tcPr>
          <w:p>
            <w:pPr>
              <w:spacing w:after="0"/>
              <w:rPr>
                <w:sz w:val="20"/>
                <w:szCs w:val="20"/>
                <w:color w:val="auto"/>
              </w:rPr>
            </w:pPr>
          </w:p>
        </w:tc>
        <w:tc>
          <w:tcPr>
            <w:tcW w:w="4670" w:type="dxa"/>
            <w:vAlign w:val="bottom"/>
            <w:tcBorders>
              <w:bottom w:val="single" w:sz="8" w:color="E3E3E3"/>
            </w:tcBorders>
          </w:tcPr>
          <w:p>
            <w:pPr>
              <w:spacing w:after="0"/>
              <w:rPr>
                <w:sz w:val="20"/>
                <w:szCs w:val="20"/>
                <w:color w:val="auto"/>
              </w:rPr>
            </w:pPr>
          </w:p>
        </w:tc>
        <w:tc>
          <w:tcPr>
            <w:tcW w:w="9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0" w:type="dxa"/>
            <w:vAlign w:val="bottom"/>
            <w:tcBorders>
              <w:bottom w:val="single" w:sz="8" w:color="E3E3E3"/>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70" w:type="dxa"/>
            <w:vAlign w:val="bottom"/>
            <w:gridSpan w:val="2"/>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Land</w:t>
            </w:r>
          </w:p>
        </w:tc>
        <w:tc>
          <w:tcPr>
            <w:tcW w:w="9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3,734</w:t>
            </w:r>
          </w:p>
        </w:tc>
        <w:tc>
          <w:tcPr>
            <w:tcW w:w="2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480" w:type="dxa"/>
            <w:vAlign w:val="bottom"/>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3,734</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6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Buildings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57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Site improvements</w:t>
            </w:r>
          </w:p>
        </w:tc>
        <w:tc>
          <w:tcPr>
            <w:tcW w:w="9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2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48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57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Tenant improvements</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57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Furniture and equipment</w:t>
            </w:r>
          </w:p>
        </w:tc>
        <w:tc>
          <w:tcPr>
            <w:tcW w:w="9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891</w:t>
            </w:r>
          </w:p>
        </w:tc>
        <w:tc>
          <w:tcPr>
            <w:tcW w:w="2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48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875</w:t>
            </w:r>
          </w:p>
        </w:tc>
        <w:tc>
          <w:tcPr>
            <w:tcW w:w="100" w:type="dxa"/>
            <w:vAlign w:val="bottom"/>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70" w:type="dxa"/>
            <w:vAlign w:val="bottom"/>
            <w:tcBorders>
              <w:bottom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9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480" w:type="dxa"/>
            <w:vAlign w:val="bottom"/>
            <w:tcBorders>
              <w:bottom w:val="single" w:sz="8" w:color="E3E3E3"/>
            </w:tcBorders>
          </w:tcPr>
          <w:p>
            <w:pPr>
              <w:spacing w:after="0"/>
              <w:rPr>
                <w:sz w:val="20"/>
                <w:szCs w:val="20"/>
                <w:color w:val="auto"/>
              </w:rPr>
            </w:pPr>
          </w:p>
        </w:tc>
        <w:tc>
          <w:tcPr>
            <w:tcW w:w="9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0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570" w:type="dxa"/>
            <w:vAlign w:val="bottom"/>
            <w:tcBorders>
              <w:bottom w:val="single" w:sz="8" w:color="E3E3E3"/>
            </w:tcBorders>
            <w:gridSpan w:val="2"/>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Other</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193</w:t>
            </w:r>
          </w:p>
        </w:tc>
        <w:tc>
          <w:tcPr>
            <w:tcW w:w="2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auto"/>
            </w:tcBorders>
            <w:shd w:val="clear" w:color="auto" w:fill="E3E3E3"/>
          </w:tcPr>
          <w:p>
            <w:pPr>
              <w:spacing w:after="0"/>
              <w:rPr>
                <w:sz w:val="20"/>
                <w:szCs w:val="20"/>
                <w:color w:val="auto"/>
              </w:rPr>
            </w:pPr>
          </w:p>
        </w:tc>
        <w:tc>
          <w:tcPr>
            <w:tcW w:w="480" w:type="dxa"/>
            <w:vAlign w:val="bottom"/>
            <w:tcBorders>
              <w:bottom w:val="single" w:sz="8" w:color="auto"/>
            </w:tcBorders>
            <w:shd w:val="clear" w:color="auto" w:fill="E3E3E3"/>
          </w:tcPr>
          <w:p>
            <w:pPr>
              <w:spacing w:after="0"/>
              <w:rPr>
                <w:sz w:val="20"/>
                <w:szCs w:val="20"/>
                <w:color w:val="auto"/>
              </w:rPr>
            </w:pPr>
          </w:p>
        </w:tc>
        <w:tc>
          <w:tcPr>
            <w:tcW w:w="92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37</w:t>
            </w:r>
          </w:p>
        </w:tc>
        <w:tc>
          <w:tcPr>
            <w:tcW w:w="10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570" w:type="dxa"/>
            <w:vAlign w:val="bottom"/>
            <w:tcBorders>
              <w:bottom w:val="single" w:sz="8" w:color="E3E3E3"/>
            </w:tcBorders>
            <w:gridSpan w:val="2"/>
          </w:tcPr>
          <w:p>
            <w:pPr>
              <w:ind w:left="180"/>
              <w:spacing w:after="0" w:line="215" w:lineRule="exact"/>
              <w:rPr>
                <w:sz w:val="20"/>
                <w:szCs w:val="20"/>
                <w:color w:val="auto"/>
              </w:rPr>
            </w:pPr>
            <w:r>
              <w:rPr>
                <w:rFonts w:ascii="Times New Roman" w:cs="Times New Roman" w:eastAsia="Times New Roman" w:hAnsi="Times New Roman"/>
                <w:sz w:val="20"/>
                <w:szCs w:val="20"/>
                <w:color w:val="auto"/>
              </w:rPr>
              <w:t>Gross property and equipment</w:t>
            </w:r>
          </w:p>
        </w:tc>
        <w:tc>
          <w:tcPr>
            <w:tcW w:w="9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30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24,785</w:t>
            </w:r>
          </w:p>
        </w:tc>
        <w:tc>
          <w:tcPr>
            <w:tcW w:w="200" w:type="dxa"/>
            <w:vAlign w:val="bottom"/>
            <w:tcBorders>
              <w:bottom w:val="single" w:sz="8" w:color="E3E3E3"/>
            </w:tcBorders>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480" w:type="dxa"/>
            <w:vAlign w:val="bottom"/>
            <w:tcBorders>
              <w:bottom w:val="single" w:sz="8" w:color="E3E3E3"/>
            </w:tcBorders>
          </w:tcPr>
          <w:p>
            <w:pPr>
              <w:jc w:val="right"/>
              <w:ind w:right="280"/>
              <w:spacing w:after="0" w:line="217"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920" w:type="dxa"/>
            <w:vAlign w:val="bottom"/>
            <w:tcBorders>
              <w:bottom w:val="single" w:sz="8" w:color="E3E3E3"/>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24,237</w:t>
            </w:r>
          </w:p>
        </w:tc>
        <w:tc>
          <w:tcPr>
            <w:tcW w:w="100" w:type="dxa"/>
            <w:vAlign w:val="bottom"/>
            <w:tcBorders>
              <w:bottom w:val="single" w:sz="8" w:color="E3E3E3"/>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70" w:type="dxa"/>
            <w:vAlign w:val="bottom"/>
            <w:tcBorders>
              <w:bottom w:val="single" w:sz="8" w:color="E3E3E3"/>
            </w:tcBorders>
            <w:gridSpan w:val="2"/>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Accumulated depreciation</w:t>
            </w:r>
          </w:p>
        </w:tc>
        <w:tc>
          <w:tcPr>
            <w:tcW w:w="9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auto"/>
            </w:tcBorders>
            <w:shd w:val="clear" w:color="auto" w:fill="E3E3E3"/>
          </w:tcPr>
          <w:p>
            <w:pPr>
              <w:spacing w:after="0"/>
              <w:rPr>
                <w:sz w:val="19"/>
                <w:szCs w:val="19"/>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(4,139)</w:t>
            </w:r>
          </w:p>
        </w:tc>
        <w:tc>
          <w:tcPr>
            <w:tcW w:w="20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auto"/>
            </w:tcBorders>
            <w:shd w:val="clear" w:color="auto" w:fill="E3E3E3"/>
          </w:tcPr>
          <w:p>
            <w:pPr>
              <w:spacing w:after="0"/>
              <w:rPr>
                <w:sz w:val="19"/>
                <w:szCs w:val="19"/>
                <w:color w:val="auto"/>
              </w:rPr>
            </w:pPr>
          </w:p>
        </w:tc>
        <w:tc>
          <w:tcPr>
            <w:tcW w:w="480" w:type="dxa"/>
            <w:vAlign w:val="bottom"/>
            <w:tcBorders>
              <w:bottom w:val="single" w:sz="8" w:color="auto"/>
            </w:tcBorders>
            <w:shd w:val="clear" w:color="auto" w:fill="E3E3E3"/>
          </w:tcPr>
          <w:p>
            <w:pPr>
              <w:spacing w:after="0"/>
              <w:rPr>
                <w:sz w:val="19"/>
                <w:szCs w:val="19"/>
                <w:color w:val="auto"/>
              </w:rPr>
            </w:pPr>
          </w:p>
        </w:tc>
        <w:tc>
          <w:tcPr>
            <w:tcW w:w="92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(3,236)</w:t>
            </w:r>
          </w:p>
        </w:tc>
        <w:tc>
          <w:tcPr>
            <w:tcW w:w="100" w:type="dxa"/>
            <w:vAlign w:val="bottom"/>
            <w:tcBorders>
              <w:bottom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57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67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67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-2832100</wp:posOffset>
                </wp:positionV>
                <wp:extent cx="685927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23pt" to="540.3pt,-223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-1120140</wp:posOffset>
                </wp:positionV>
                <wp:extent cx="109728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88.1999pt" to="540.3pt,-88.1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-815340</wp:posOffset>
                </wp:positionV>
                <wp:extent cx="109728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64.1999pt" to="540.3pt,-64.1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-505460</wp:posOffset>
                </wp:positionV>
                <wp:extent cx="486854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9.7999pt" to="383.55pt,-39.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-505460</wp:posOffset>
                </wp:positionV>
                <wp:extent cx="13589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39.7999pt" to="464.6pt,-39.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-505460</wp:posOffset>
                </wp:positionV>
                <wp:extent cx="6858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39.7999pt" to="540.3pt,-39.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-353060</wp:posOffset>
                </wp:positionV>
                <wp:extent cx="109728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27.7999pt" to="540.3pt,-27.79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-193040</wp:posOffset>
                </wp:positionV>
                <wp:extent cx="13589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15.1999pt" to="464.6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-26035</wp:posOffset>
                </wp:positionV>
                <wp:extent cx="685927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499pt" to="540.3pt,-2.0499pt" o:allowincell="f" strokecolor="#FFFFFF" strokeweight="2.52pt"/>
            </w:pict>
          </mc:Fallback>
        </mc:AlternateContent>
      </w:r>
    </w:p>
    <w:p>
      <w:pPr>
        <w:spacing w:after="0" w:line="19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Depreciation expense for property and equipment was $903,000, $952,000 and $1,084,000 for the years ended December 31, 2025, 2024 and 2023, respectively.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96 / 117</w:t>
      </w:r>
    </w:p>
    <w:p>
      <w:pPr>
        <w:sectPr>
          <w:pgSz w:w="12240" w:h="15840" w:orient="portrait"/>
          <w:cols w:equalWidth="0" w:num="1">
            <w:col w:w="10800"/>
          </w:cols>
          <w:pgMar w:left="720" w:top="788" w:right="720" w:bottom="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73"/>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6. Intangible Assets</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54"/>
        </w:trPr>
        <w:tc>
          <w:tcPr>
            <w:tcW w:w="9300" w:type="dxa"/>
            <w:vAlign w:val="bottom"/>
            <w:gridSpan w:val="5"/>
          </w:tcPr>
          <w:p>
            <w:pPr>
              <w:ind w:left="360"/>
              <w:spacing w:after="0"/>
              <w:rPr>
                <w:sz w:val="20"/>
                <w:szCs w:val="20"/>
                <w:color w:val="auto"/>
              </w:rPr>
            </w:pPr>
            <w:r>
              <w:rPr>
                <w:rFonts w:ascii="Times New Roman" w:cs="Times New Roman" w:eastAsia="Times New Roman" w:hAnsi="Times New Roman"/>
                <w:sz w:val="20"/>
                <w:szCs w:val="20"/>
                <w:color w:val="auto"/>
              </w:rPr>
              <w:t>The components of intangible assets, net, as of December 31, 2025 and 2024 were as follows (in thousands):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757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570" w:type="dxa"/>
            <w:vAlign w:val="bottom"/>
            <w:tcBorders>
              <w:bottom w:val="single" w:sz="8" w:color="E3E3E3"/>
            </w:tcBorders>
          </w:tcPr>
          <w:p>
            <w:pPr>
              <w:spacing w:after="0"/>
              <w:rPr>
                <w:sz w:val="20"/>
                <w:szCs w:val="20"/>
                <w:color w:val="auto"/>
              </w:rPr>
            </w:pPr>
          </w:p>
        </w:tc>
        <w:tc>
          <w:tcPr>
            <w:tcW w:w="11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E3E3E3"/>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E3E3E3"/>
            </w:tcBorders>
          </w:tcPr>
          <w:p>
            <w:pPr>
              <w:spacing w:after="0"/>
              <w:rPr>
                <w:sz w:val="20"/>
                <w:szCs w:val="20"/>
                <w:color w:val="auto"/>
              </w:rPr>
            </w:pPr>
          </w:p>
        </w:tc>
      </w:tr>
      <w:tr>
        <w:trPr>
          <w:trHeight w:val="230"/>
        </w:trPr>
        <w:tc>
          <w:tcPr>
            <w:tcW w:w="7570" w:type="dxa"/>
            <w:vAlign w:val="bottom"/>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Lease-in-place agreements</w:t>
            </w:r>
          </w:p>
        </w:tc>
        <w:tc>
          <w:tcPr>
            <w:tcW w:w="110" w:type="dxa"/>
            <w:vAlign w:val="bottom"/>
            <w:tcBorders>
              <w:right w:val="single" w:sz="8" w:color="E3E3E3"/>
            </w:tcBorders>
            <w:shd w:val="clear" w:color="auto" w:fill="E3E3E3"/>
          </w:tcPr>
          <w:p>
            <w:pPr>
              <w:spacing w:after="0"/>
              <w:rPr>
                <w:sz w:val="19"/>
                <w:szCs w:val="19"/>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220" w:type="dxa"/>
            <w:vAlign w:val="bottom"/>
            <w:tcBorders>
              <w:right w:val="single" w:sz="8" w:color="E3E3E3"/>
            </w:tcBorders>
            <w:shd w:val="clear" w:color="auto" w:fill="E3E3E3"/>
          </w:tcPr>
          <w:p>
            <w:pPr>
              <w:spacing w:after="0"/>
              <w:rPr>
                <w:sz w:val="19"/>
                <w:szCs w:val="19"/>
                <w:color w:val="auto"/>
              </w:rPr>
            </w:pPr>
          </w:p>
        </w:tc>
        <w:tc>
          <w:tcPr>
            <w:tcW w:w="480" w:type="dxa"/>
            <w:vAlign w:val="bottom"/>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100" w:type="dxa"/>
            <w:vAlign w:val="bottom"/>
            <w:shd w:val="clear" w:color="auto" w:fill="E3E3E3"/>
          </w:tcPr>
          <w:p>
            <w:pPr>
              <w:spacing w:after="0"/>
              <w:rPr>
                <w:sz w:val="19"/>
                <w:szCs w:val="19"/>
                <w:color w:val="auto"/>
              </w:rPr>
            </w:pPr>
          </w:p>
        </w:tc>
      </w:tr>
      <w:tr>
        <w:trPr>
          <w:trHeight w:val="242"/>
        </w:trPr>
        <w:tc>
          <w:tcPr>
            <w:tcW w:w="7680" w:type="dxa"/>
            <w:vAlign w:val="bottom"/>
            <w:tcBorders>
              <w:bottom w:val="single" w:sz="8" w:color="E3E3E3"/>
            </w:tcBorders>
            <w:gridSpan w:val="2"/>
          </w:tcPr>
          <w:p>
            <w:pPr>
              <w:spacing w:after="0"/>
              <w:rPr>
                <w:sz w:val="20"/>
                <w:szCs w:val="20"/>
                <w:color w:val="auto"/>
              </w:rPr>
            </w:pPr>
            <w:r>
              <w:rPr>
                <w:rFonts w:ascii="Times New Roman" w:cs="Times New Roman" w:eastAsia="Times New Roman" w:hAnsi="Times New Roman"/>
                <w:sz w:val="20"/>
                <w:szCs w:val="20"/>
                <w:color w:val="auto"/>
              </w:rPr>
              <w:t>Leasing commissions and other</w:t>
            </w: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220" w:type="dxa"/>
            <w:vAlign w:val="bottom"/>
            <w:tcBorders>
              <w:bottom w:val="single" w:sz="8" w:color="E3E3E3"/>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100" w:type="dxa"/>
            <w:vAlign w:val="bottom"/>
            <w:tcBorders>
              <w:bottom w:val="single" w:sz="8" w:color="E3E3E3"/>
            </w:tcBorders>
          </w:tcPr>
          <w:p>
            <w:pPr>
              <w:spacing w:after="0"/>
              <w:rPr>
                <w:sz w:val="21"/>
                <w:szCs w:val="21"/>
                <w:color w:val="auto"/>
              </w:rPr>
            </w:pPr>
          </w:p>
        </w:tc>
      </w:tr>
      <w:tr>
        <w:trPr>
          <w:trHeight w:val="230"/>
        </w:trPr>
        <w:tc>
          <w:tcPr>
            <w:tcW w:w="7570" w:type="dxa"/>
            <w:vAlign w:val="bottom"/>
            <w:shd w:val="clear" w:color="auto" w:fill="E3E3E3"/>
          </w:tcPr>
          <w:p>
            <w:pPr>
              <w:ind w:left="180"/>
              <w:spacing w:after="0" w:line="225" w:lineRule="exact"/>
              <w:rPr>
                <w:sz w:val="20"/>
                <w:szCs w:val="20"/>
                <w:color w:val="auto"/>
              </w:rPr>
            </w:pPr>
            <w:r>
              <w:rPr>
                <w:rFonts w:ascii="Times New Roman" w:cs="Times New Roman" w:eastAsia="Times New Roman" w:hAnsi="Times New Roman"/>
                <w:sz w:val="20"/>
                <w:szCs w:val="20"/>
                <w:color w:val="auto"/>
              </w:rPr>
              <w:t>Gross intangible assets</w:t>
            </w:r>
          </w:p>
        </w:tc>
        <w:tc>
          <w:tcPr>
            <w:tcW w:w="110" w:type="dxa"/>
            <w:vAlign w:val="bottom"/>
            <w:tcBorders>
              <w:right w:val="single" w:sz="8" w:color="E3E3E3"/>
            </w:tcBorders>
            <w:shd w:val="clear" w:color="auto" w:fill="E3E3E3"/>
          </w:tcPr>
          <w:p>
            <w:pPr>
              <w:spacing w:after="0"/>
              <w:rPr>
                <w:sz w:val="19"/>
                <w:szCs w:val="19"/>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1,577</w:t>
            </w:r>
          </w:p>
        </w:tc>
        <w:tc>
          <w:tcPr>
            <w:tcW w:w="220" w:type="dxa"/>
            <w:vAlign w:val="bottom"/>
            <w:tcBorders>
              <w:right w:val="single" w:sz="8" w:color="E3E3E3"/>
            </w:tcBorders>
            <w:shd w:val="clear" w:color="auto" w:fill="E3E3E3"/>
          </w:tcPr>
          <w:p>
            <w:pPr>
              <w:spacing w:after="0"/>
              <w:rPr>
                <w:sz w:val="19"/>
                <w:szCs w:val="19"/>
                <w:color w:val="auto"/>
              </w:rPr>
            </w:pPr>
          </w:p>
        </w:tc>
        <w:tc>
          <w:tcPr>
            <w:tcW w:w="480" w:type="dxa"/>
            <w:vAlign w:val="bottom"/>
            <w:shd w:val="clear" w:color="auto" w:fill="E3E3E3"/>
          </w:tcPr>
          <w:p>
            <w:pPr>
              <w:jc w:val="right"/>
              <w:ind w:right="28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1,387</w:t>
            </w:r>
          </w:p>
        </w:tc>
        <w:tc>
          <w:tcPr>
            <w:tcW w:w="100" w:type="dxa"/>
            <w:vAlign w:val="bottom"/>
            <w:shd w:val="clear" w:color="auto" w:fill="E3E3E3"/>
          </w:tcPr>
          <w:p>
            <w:pPr>
              <w:spacing w:after="0"/>
              <w:rPr>
                <w:sz w:val="19"/>
                <w:szCs w:val="19"/>
                <w:color w:val="auto"/>
              </w:rPr>
            </w:pPr>
          </w:p>
        </w:tc>
      </w:tr>
      <w:tr>
        <w:trPr>
          <w:trHeight w:val="245"/>
        </w:trPr>
        <w:tc>
          <w:tcPr>
            <w:tcW w:w="7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Accumulated amortization</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(1,350)</w:t>
            </w:r>
          </w:p>
        </w:tc>
      </w:tr>
      <w:tr>
        <w:trPr>
          <w:trHeight w:val="274"/>
        </w:trPr>
        <w:tc>
          <w:tcPr>
            <w:tcW w:w="7570" w:type="dxa"/>
            <w:vAlign w:val="bottom"/>
            <w:tcBorders>
              <w:top w:val="single" w:sz="8" w:color="E3E3E3"/>
              <w:bottom w:val="single" w:sz="8" w:color="E3E3E3"/>
            </w:tcBorders>
            <w:shd w:val="clear" w:color="auto" w:fill="E3E3E3"/>
          </w:tcPr>
          <w:p>
            <w:pPr>
              <w:ind w:left="180"/>
              <w:spacing w:after="0" w:line="225" w:lineRule="exact"/>
              <w:rPr>
                <w:sz w:val="20"/>
                <w:szCs w:val="20"/>
                <w:color w:val="auto"/>
              </w:rPr>
            </w:pPr>
            <w:r>
              <w:rPr>
                <w:rFonts w:ascii="Times New Roman" w:cs="Times New Roman" w:eastAsia="Times New Roman" w:hAnsi="Times New Roman"/>
                <w:sz w:val="20"/>
                <w:szCs w:val="20"/>
                <w:color w:val="auto"/>
              </w:rPr>
              <w:t>Intangible assets, net</w:t>
            </w:r>
          </w:p>
        </w:tc>
        <w:tc>
          <w:tcPr>
            <w:tcW w:w="11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1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193</w:t>
            </w:r>
          </w:p>
        </w:tc>
        <w:tc>
          <w:tcPr>
            <w:tcW w:w="22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480" w:type="dxa"/>
            <w:vAlign w:val="bottom"/>
            <w:tcBorders>
              <w:top w:val="single" w:sz="8" w:color="auto"/>
              <w:bottom w:val="single" w:sz="8" w:color="E3E3E3"/>
            </w:tcBorders>
            <w:shd w:val="clear" w:color="auto" w:fill="E3E3E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2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37</w:t>
            </w: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r>
      <w:tr>
        <w:trPr>
          <w:trHeight w:val="20"/>
        </w:trPr>
        <w:tc>
          <w:tcPr>
            <w:tcW w:w="757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20" w:type="dxa"/>
            <w:vAlign w:val="bottom"/>
            <w:tcBorders>
              <w:top w:val="single" w:sz="8" w:color="E3E3E3"/>
              <w:right w:val="single" w:sz="8" w:color="auto"/>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r>
    </w:tbl>
    <w:p>
      <w:pPr>
        <w:spacing w:after="0" w:line="210" w:lineRule="exact"/>
        <w:rPr>
          <w:sz w:val="20"/>
          <w:szCs w:val="20"/>
          <w:color w:val="auto"/>
        </w:rPr>
      </w:pPr>
    </w:p>
    <w:p>
      <w:pPr>
        <w:jc w:val="both"/>
        <w:ind w:left="20" w:firstLine="360"/>
        <w:spacing w:after="0" w:line="277" w:lineRule="auto"/>
        <w:rPr>
          <w:sz w:val="20"/>
          <w:szCs w:val="20"/>
          <w:color w:val="auto"/>
        </w:rPr>
      </w:pPr>
      <w:r>
        <w:rPr>
          <w:rFonts w:ascii="Times New Roman" w:cs="Times New Roman" w:eastAsia="Times New Roman" w:hAnsi="Times New Roman"/>
          <w:sz w:val="20"/>
          <w:szCs w:val="20"/>
          <w:color w:val="auto"/>
        </w:rPr>
        <w:t>Amortization expense for intangible assets was $33,000, $180,000 and $446,000 for the years ended December 31, 2025, 2024 and 2023,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Amortization expense for finite-lived intangible assets is expected to be as follows (in thousands):</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For the year ending December 31,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2900" w:type="dxa"/>
            <w:vAlign w:val="bottom"/>
            <w:tcBorders>
              <w:top w:val="single" w:sz="8" w:color="auto"/>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2026</w:t>
            </w:r>
          </w:p>
        </w:tc>
        <w:tc>
          <w:tcPr>
            <w:tcW w:w="6290" w:type="dxa"/>
            <w:vAlign w:val="bottom"/>
            <w:shd w:val="clear" w:color="auto" w:fill="E3E3E3"/>
          </w:tcPr>
          <w:p>
            <w:pPr>
              <w:spacing w:after="0"/>
              <w:rPr>
                <w:sz w:val="21"/>
                <w:szCs w:val="21"/>
                <w:color w:val="auto"/>
              </w:rPr>
            </w:pPr>
          </w:p>
        </w:tc>
        <w:tc>
          <w:tcPr>
            <w:tcW w:w="9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shd w:val="clear" w:color="auto" w:fill="E3E3E3"/>
          </w:tcPr>
          <w:p>
            <w:pPr>
              <w:spacing w:after="0"/>
              <w:rPr>
                <w:sz w:val="21"/>
                <w:szCs w:val="21"/>
                <w:color w:val="auto"/>
              </w:rPr>
            </w:pPr>
          </w:p>
        </w:tc>
      </w:tr>
      <w:tr>
        <w:trPr>
          <w:trHeight w:val="24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629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00" w:type="dxa"/>
            <w:vAlign w:val="bottom"/>
          </w:tcPr>
          <w:p>
            <w:pPr>
              <w:spacing w:after="0"/>
              <w:rPr>
                <w:sz w:val="20"/>
                <w:szCs w:val="20"/>
                <w:color w:val="auto"/>
              </w:rPr>
            </w:pPr>
          </w:p>
        </w:tc>
      </w:tr>
      <w:tr>
        <w:trPr>
          <w:trHeight w:val="240"/>
        </w:trPr>
        <w:tc>
          <w:tcPr>
            <w:tcW w:w="2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2028</w:t>
            </w:r>
          </w:p>
        </w:tc>
        <w:tc>
          <w:tcPr>
            <w:tcW w:w="6290" w:type="dxa"/>
            <w:vAlign w:val="bottom"/>
            <w:shd w:val="clear" w:color="auto" w:fill="E3E3E3"/>
          </w:tcPr>
          <w:p>
            <w:pPr>
              <w:spacing w:after="0"/>
              <w:rPr>
                <w:sz w:val="20"/>
                <w:szCs w:val="20"/>
                <w:color w:val="auto"/>
              </w:rPr>
            </w:pPr>
          </w:p>
        </w:tc>
        <w:tc>
          <w:tcPr>
            <w:tcW w:w="9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shd w:val="clear" w:color="auto" w:fill="E3E3E3"/>
          </w:tcPr>
          <w:p>
            <w:pPr>
              <w:spacing w:after="0"/>
              <w:rPr>
                <w:sz w:val="20"/>
                <w:szCs w:val="20"/>
                <w:color w:val="auto"/>
              </w:rPr>
            </w:pPr>
          </w:p>
        </w:tc>
      </w:tr>
      <w:tr>
        <w:trPr>
          <w:trHeight w:val="240"/>
        </w:trPr>
        <w:tc>
          <w:tcPr>
            <w:tcW w:w="29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629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100" w:type="dxa"/>
            <w:vAlign w:val="bottom"/>
          </w:tcPr>
          <w:p>
            <w:pPr>
              <w:spacing w:after="0"/>
              <w:rPr>
                <w:sz w:val="20"/>
                <w:szCs w:val="20"/>
                <w:color w:val="auto"/>
              </w:rPr>
            </w:pPr>
          </w:p>
        </w:tc>
      </w:tr>
      <w:tr>
        <w:trPr>
          <w:trHeight w:val="245"/>
        </w:trPr>
        <w:tc>
          <w:tcPr>
            <w:tcW w:w="919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auto"/>
              </w:rPr>
              <w:t>2030 and beyond</w:t>
            </w:r>
          </w:p>
        </w:tc>
        <w:tc>
          <w:tcPr>
            <w:tcW w:w="9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tcBorders>
              <w:bottom w:val="single" w:sz="8" w:color="auto"/>
            </w:tcBorders>
            <w:shd w:val="clear" w:color="auto" w:fill="E3E3E3"/>
          </w:tcPr>
          <w:p>
            <w:pPr>
              <w:spacing w:after="0"/>
              <w:rPr>
                <w:sz w:val="21"/>
                <w:szCs w:val="21"/>
                <w:color w:val="auto"/>
              </w:rPr>
            </w:pPr>
          </w:p>
        </w:tc>
        <w:tc>
          <w:tcPr>
            <w:tcW w:w="130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100" w:type="dxa"/>
            <w:vAlign w:val="bottom"/>
            <w:shd w:val="clear" w:color="auto" w:fill="E3E3E3"/>
          </w:tcPr>
          <w:p>
            <w:pPr>
              <w:spacing w:after="0"/>
              <w:rPr>
                <w:sz w:val="21"/>
                <w:szCs w:val="21"/>
                <w:color w:val="auto"/>
              </w:rPr>
            </w:pPr>
          </w:p>
        </w:tc>
      </w:tr>
      <w:tr>
        <w:trPr>
          <w:trHeight w:val="230"/>
        </w:trPr>
        <w:tc>
          <w:tcPr>
            <w:tcW w:w="919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Total amortization</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62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2900" w:type="dxa"/>
            <w:vAlign w:val="bottom"/>
          </w:tcPr>
          <w:p>
            <w:pPr>
              <w:spacing w:after="0" w:line="20" w:lineRule="exact"/>
              <w:rPr>
                <w:sz w:val="1"/>
                <w:szCs w:val="1"/>
                <w:color w:val="auto"/>
              </w:rPr>
            </w:pPr>
          </w:p>
        </w:tc>
        <w:tc>
          <w:tcPr>
            <w:tcW w:w="629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-504190</wp:posOffset>
                </wp:positionV>
                <wp:extent cx="685927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39.6999pt" to="541.3pt,-39.6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-26670</wp:posOffset>
                </wp:positionV>
                <wp:extent cx="685927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2.0999pt" to="541.3pt,-2.0999pt" o:allowincell="f" strokecolor="#FFFFFF" strokeweight="2.5199pt"/>
            </w:pict>
          </mc:Fallback>
        </mc:AlternateContent>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7. Stockholders' Equity and Stock-Based Compensation</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Preferred Stock</w:t>
      </w:r>
    </w:p>
    <w:p>
      <w:pPr>
        <w:spacing w:after="0" w:line="231" w:lineRule="exact"/>
        <w:rPr>
          <w:sz w:val="20"/>
          <w:szCs w:val="20"/>
          <w:color w:val="auto"/>
        </w:rPr>
      </w:pPr>
    </w:p>
    <w:p>
      <w:pPr>
        <w:jc w:val="both"/>
        <w:ind w:left="20" w:firstLine="360"/>
        <w:spacing w:after="0" w:line="275" w:lineRule="auto"/>
        <w:rPr>
          <w:sz w:val="20"/>
          <w:szCs w:val="20"/>
          <w:color w:val="auto"/>
        </w:rPr>
      </w:pPr>
      <w:r>
        <w:rPr>
          <w:rFonts w:ascii="Times New Roman" w:cs="Times New Roman" w:eastAsia="Times New Roman" w:hAnsi="Times New Roman"/>
          <w:sz w:val="20"/>
          <w:szCs w:val="20"/>
          <w:color w:val="auto"/>
        </w:rPr>
        <w:t>The Company’s Board of Directors (the “Board”) has the authority to issue preferred stock in one or more series and to fix the rights, preferences, privileges, restrictions and the number of shares constituting any series or the designation of the series.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Warrant Distribution</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Notes 2 and 13 regarding the distribution of common stock warrants on January 3, 2024.</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At the Market (ATM) Common Stock Issuance</w:t>
      </w:r>
    </w:p>
    <w:p>
      <w:pPr>
        <w:spacing w:after="0" w:line="23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November 12, 2025, we entered into an at-the -market offering program (ATM) to sell, from time to time, shares of our common stock having an aggregate offering price of up to $50 million in common stock in transactions pursuant to a shelf registration statement that was declared effective by the U.S. Securities and Exchange Commission (the SEC) on December 5, 2025. We are obligated to pay a commission of up to 3.0% of the gross proceeds from the sale of shares of common stock in the offering. We are not obligated to sell any shares in the offering.</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There were no common stock sales under the ATM during the year ended December 31, 2025.</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2008 Equity Incentive Plan</w:t>
      </w:r>
    </w:p>
    <w:p>
      <w:pPr>
        <w:spacing w:after="0" w:line="228"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Under the Company’s 2008 Equity Incentive Plan, or 2008 Equity Plan, its employees, directors and consultants received share-based awards, including grants of stock options and performance awards. The 2008 Equity Plan expired in December 2017. Share-based awards generally expire ten years from the date of grant.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97 / 117</w:t>
      </w:r>
    </w:p>
    <w:p>
      <w:pPr>
        <w:sectPr>
          <w:pgSz w:w="12240" w:h="15840" w:orient="portrait"/>
          <w:cols w:equalWidth="0" w:num="1">
            <w:col w:w="10820"/>
          </w:cols>
          <w:pgMar w:left="700" w:top="1060" w:right="720" w:bottom="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i w:val="1"/>
          <w:iCs w:val="1"/>
          <w:color w:val="auto"/>
        </w:rPr>
        <w:t>2018 Equity Incentive Plan</w:t>
      </w:r>
    </w:p>
    <w:p>
      <w:pPr>
        <w:spacing w:after="0" w:line="22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The Company’s Board or a designated committee of the Board is responsible for administration of the Company’s 2018 Omnibus Incentive Plan, as amended May 2022 (the “2018 Plan”) and determines the terms and conditions of each option granted, consistent with the terms of the 2018 Plan. The Company’s employees, directors, and consultants are eligible to receive awards under the 2018 Plan, including grants of stock options and performance awards. Share-based awards generally expire 10 years from the date of grant. The 2018 Plan, as amended in May 2022, provides for issuance of up to 5,000,000 shares of common stock, par value $0.001 per share, subject to adjustment as provided in the 2018 Plan.</w:t>
      </w:r>
    </w:p>
    <w:p>
      <w:pPr>
        <w:spacing w:after="0" w:line="19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When stock options or performance awards are exercised net of the exercise price and taxes, the number of shares of stock issued is reduced by the number of shares equal to the amount of taxes owed by the award recipient and that number of shares are cancelled. The Company then uses its cash to pay tax authorities the amount of statutory taxes owed by and on behalf of the award recipient.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summarizes information about stock option activity during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right="20"/>
              <w:spacing w:after="0" w:line="228"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center"/>
              <w:ind w:right="20"/>
              <w:spacing w:after="0" w:line="228"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160"/>
              <w:spacing w:after="0" w:line="228" w:lineRule="exact"/>
              <w:rPr>
                <w:sz w:val="20"/>
                <w:szCs w:val="20"/>
                <w:color w:val="auto"/>
              </w:rPr>
            </w:pPr>
            <w:r>
              <w:rPr>
                <w:rFonts w:ascii="Times New Roman" w:cs="Times New Roman" w:eastAsia="Times New Roman" w:hAnsi="Times New Roman"/>
                <w:sz w:val="20"/>
                <w:szCs w:val="20"/>
                <w:b w:val="1"/>
                <w:bCs w:val="1"/>
                <w:color w:val="auto"/>
              </w:rPr>
              <w:t>Aggregate</w:t>
            </w:r>
          </w:p>
        </w:tc>
        <w:tc>
          <w:tcPr>
            <w:tcW w:w="100" w:type="dxa"/>
            <w:vAlign w:val="bottom"/>
          </w:tcPr>
          <w:p>
            <w:pPr>
              <w:spacing w:after="0"/>
              <w:rPr>
                <w:sz w:val="19"/>
                <w:szCs w:val="19"/>
                <w:color w:val="auto"/>
              </w:rPr>
            </w:pPr>
          </w:p>
        </w:tc>
      </w:tr>
      <w:tr>
        <w:trPr>
          <w:trHeight w:val="24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20" w:type="dxa"/>
            <w:vAlign w:val="bottom"/>
          </w:tcPr>
          <w:p>
            <w:pPr>
              <w:spacing w:after="0"/>
              <w:rPr>
                <w:sz w:val="20"/>
                <w:szCs w:val="20"/>
                <w:color w:val="auto"/>
              </w:rPr>
            </w:pPr>
          </w:p>
        </w:tc>
        <w:tc>
          <w:tcPr>
            <w:tcW w:w="13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Intrinsic Value</w:t>
            </w:r>
          </w:p>
        </w:tc>
        <w:tc>
          <w:tcPr>
            <w:tcW w:w="100" w:type="dxa"/>
            <w:vAlign w:val="bottom"/>
          </w:tcPr>
          <w:p>
            <w:pPr>
              <w:spacing w:after="0"/>
              <w:rPr>
                <w:sz w:val="20"/>
                <w:szCs w:val="20"/>
                <w:color w:val="auto"/>
              </w:rPr>
            </w:pPr>
          </w:p>
        </w:tc>
      </w:tr>
      <w:tr>
        <w:trPr>
          <w:trHeight w:val="262"/>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7"/>
              </w:rPr>
              <w:t>Options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220" w:type="dxa"/>
            <w:vAlign w:val="bottom"/>
          </w:tcPr>
          <w:p>
            <w:pPr>
              <w:spacing w:after="0"/>
              <w:rPr>
                <w:sz w:val="22"/>
                <w:szCs w:val="22"/>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Term in Years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432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00" w:type="dxa"/>
            <w:vAlign w:val="bottom"/>
            <w:tcBorders>
              <w:top w:val="single" w:sz="8" w:color="auto"/>
              <w:bottom w:val="single" w:sz="8" w:color="E3E3E3"/>
            </w:tcBorders>
          </w:tcPr>
          <w:p>
            <w:pPr>
              <w:spacing w:after="0"/>
              <w:rPr>
                <w:sz w:val="19"/>
                <w:szCs w:val="19"/>
                <w:color w:val="auto"/>
              </w:rPr>
            </w:pPr>
          </w:p>
        </w:tc>
        <w:tc>
          <w:tcPr>
            <w:tcW w:w="1320" w:type="dxa"/>
            <w:vAlign w:val="bottom"/>
            <w:tcBorders>
              <w:top w:val="single" w:sz="8" w:color="auto"/>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top w:val="single" w:sz="8" w:color="auto"/>
              <w:bottom w:val="single" w:sz="8" w:color="E3E3E3"/>
            </w:tcBorders>
          </w:tcPr>
          <w:p>
            <w:pPr>
              <w:spacing w:after="0"/>
              <w:rPr>
                <w:sz w:val="19"/>
                <w:szCs w:val="19"/>
                <w:color w:val="auto"/>
              </w:rPr>
            </w:pPr>
          </w:p>
        </w:tc>
        <w:tc>
          <w:tcPr>
            <w:tcW w:w="1300" w:type="dxa"/>
            <w:vAlign w:val="bottom"/>
            <w:tcBorders>
              <w:top w:val="single" w:sz="8" w:color="auto"/>
              <w:bottom w:val="single" w:sz="8" w:color="E3E3E3"/>
            </w:tcBorders>
          </w:tcPr>
          <w:p>
            <w:pPr>
              <w:spacing w:after="0"/>
              <w:rPr>
                <w:sz w:val="19"/>
                <w:szCs w:val="19"/>
                <w:color w:val="auto"/>
              </w:rPr>
            </w:pPr>
          </w:p>
        </w:tc>
        <w:tc>
          <w:tcPr>
            <w:tcW w:w="220" w:type="dxa"/>
            <w:vAlign w:val="bottom"/>
            <w:tcBorders>
              <w:bottom w:val="single" w:sz="8" w:color="E3E3E3"/>
            </w:tcBorders>
          </w:tcPr>
          <w:p>
            <w:pPr>
              <w:spacing w:after="0"/>
              <w:rPr>
                <w:sz w:val="19"/>
                <w:szCs w:val="19"/>
                <w:color w:val="auto"/>
              </w:rPr>
            </w:pPr>
          </w:p>
        </w:tc>
        <w:tc>
          <w:tcPr>
            <w:tcW w:w="100" w:type="dxa"/>
            <w:vAlign w:val="bottom"/>
            <w:tcBorders>
              <w:top w:val="single" w:sz="8" w:color="auto"/>
              <w:bottom w:val="single" w:sz="8" w:color="E3E3E3"/>
            </w:tcBorders>
          </w:tcPr>
          <w:p>
            <w:pPr>
              <w:spacing w:after="0"/>
              <w:rPr>
                <w:sz w:val="19"/>
                <w:szCs w:val="19"/>
                <w:color w:val="auto"/>
              </w:rPr>
            </w:pPr>
          </w:p>
        </w:tc>
        <w:tc>
          <w:tcPr>
            <w:tcW w:w="1300" w:type="dxa"/>
            <w:vAlign w:val="bottom"/>
            <w:tcBorders>
              <w:top w:val="single" w:sz="8" w:color="auto"/>
              <w:bottom w:val="single" w:sz="8" w:color="E3E3E3"/>
            </w:tcBorders>
          </w:tcPr>
          <w:p>
            <w:pPr>
              <w:spacing w:after="0"/>
              <w:rPr>
                <w:sz w:val="19"/>
                <w:szCs w:val="19"/>
                <w:color w:val="auto"/>
              </w:rPr>
            </w:pPr>
          </w:p>
        </w:tc>
        <w:tc>
          <w:tcPr>
            <w:tcW w:w="220" w:type="dxa"/>
            <w:vAlign w:val="bottom"/>
            <w:tcBorders>
              <w:bottom w:val="single" w:sz="8" w:color="E3E3E3"/>
            </w:tcBorders>
          </w:tcPr>
          <w:p>
            <w:pPr>
              <w:spacing w:after="0"/>
              <w:rPr>
                <w:sz w:val="19"/>
                <w:szCs w:val="19"/>
                <w:color w:val="auto"/>
              </w:rPr>
            </w:pPr>
          </w:p>
        </w:tc>
        <w:tc>
          <w:tcPr>
            <w:tcW w:w="100" w:type="dxa"/>
            <w:vAlign w:val="bottom"/>
            <w:tcBorders>
              <w:top w:val="single" w:sz="8" w:color="auto"/>
              <w:bottom w:val="single" w:sz="8" w:color="E3E3E3"/>
            </w:tcBorders>
          </w:tcPr>
          <w:p>
            <w:pPr>
              <w:spacing w:after="0"/>
              <w:rPr>
                <w:sz w:val="19"/>
                <w:szCs w:val="19"/>
                <w:color w:val="auto"/>
              </w:rPr>
            </w:pPr>
          </w:p>
        </w:tc>
        <w:tc>
          <w:tcPr>
            <w:tcW w:w="1300" w:type="dxa"/>
            <w:vAlign w:val="bottom"/>
            <w:tcBorders>
              <w:top w:val="single" w:sz="8" w:color="auto"/>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r>
      <w:tr>
        <w:trPr>
          <w:trHeight w:val="215"/>
        </w:trPr>
        <w:tc>
          <w:tcPr>
            <w:tcW w:w="432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Outstanding as of December 31, 2024</w:t>
            </w:r>
          </w:p>
        </w:tc>
        <w:tc>
          <w:tcPr>
            <w:tcW w:w="120" w:type="dxa"/>
            <w:vAlign w:val="bottom"/>
            <w:tcBorders>
              <w:bottom w:val="single" w:sz="8" w:color="E3E3E3"/>
              <w:right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320" w:type="dxa"/>
            <w:vAlign w:val="bottom"/>
            <w:tcBorders>
              <w:bottom w:val="single" w:sz="8" w:color="E3E3E3"/>
              <w:right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4,463,028</w:t>
            </w: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w w:val="99"/>
                <w:shd w:val="clear" w:color="auto" w:fill="E3E3E3"/>
              </w:rPr>
              <w:t>$</w:t>
            </w: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20.15</w:t>
            </w:r>
          </w:p>
        </w:tc>
        <w:tc>
          <w:tcPr>
            <w:tcW w:w="2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7.61</w:t>
            </w:r>
          </w:p>
        </w:tc>
        <w:tc>
          <w:tcPr>
            <w:tcW w:w="2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288,000</w:t>
            </w:r>
          </w:p>
        </w:tc>
        <w:tc>
          <w:tcPr>
            <w:tcW w:w="100" w:type="dxa"/>
            <w:vAlign w:val="bottom"/>
            <w:tcBorders>
              <w:bottom w:val="single" w:sz="8" w:color="E3E3E3"/>
            </w:tcBorders>
            <w:shd w:val="clear" w:color="auto" w:fill="E3E3E3"/>
          </w:tcPr>
          <w:p>
            <w:pPr>
              <w:spacing w:after="0"/>
              <w:rPr>
                <w:sz w:val="18"/>
                <w:szCs w:val="18"/>
                <w:color w:val="auto"/>
              </w:rPr>
            </w:pPr>
          </w:p>
        </w:tc>
      </w:tr>
      <w:tr>
        <w:trPr>
          <w:trHeight w:val="225"/>
        </w:trPr>
        <w:tc>
          <w:tcPr>
            <w:tcW w:w="4440" w:type="dxa"/>
            <w:vAlign w:val="bottom"/>
            <w:tcBorders>
              <w:bottom w:val="single" w:sz="8" w:color="E3E3E3"/>
            </w:tcBorders>
            <w:gridSpan w:val="2"/>
          </w:tcPr>
          <w:p>
            <w:pPr>
              <w:ind w:left="180"/>
              <w:spacing w:after="0" w:line="225" w:lineRule="exact"/>
              <w:rPr>
                <w:sz w:val="20"/>
                <w:szCs w:val="20"/>
                <w:color w:val="auto"/>
              </w:rPr>
            </w:pPr>
            <w:r>
              <w:rPr>
                <w:rFonts w:ascii="Times New Roman" w:cs="Times New Roman" w:eastAsia="Times New Roman" w:hAnsi="Times New Roman"/>
                <w:sz w:val="20"/>
                <w:szCs w:val="20"/>
                <w:color w:val="auto"/>
              </w:rPr>
              <w:t>Options granted</w:t>
            </w:r>
          </w:p>
        </w:tc>
        <w:tc>
          <w:tcPr>
            <w:tcW w:w="100" w:type="dxa"/>
            <w:vAlign w:val="bottom"/>
            <w:tcBorders>
              <w:bottom w:val="single" w:sz="8" w:color="E3E3E3"/>
            </w:tcBorders>
          </w:tcPr>
          <w:p>
            <w:pPr>
              <w:spacing w:after="0"/>
              <w:rPr>
                <w:sz w:val="19"/>
                <w:szCs w:val="19"/>
                <w:color w:val="auto"/>
              </w:rPr>
            </w:pPr>
          </w:p>
        </w:tc>
        <w:tc>
          <w:tcPr>
            <w:tcW w:w="132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1,655,000</w:t>
            </w: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1.68</w:t>
            </w:r>
          </w:p>
        </w:tc>
        <w:tc>
          <w:tcPr>
            <w:tcW w:w="2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spacing w:after="0"/>
              <w:rPr>
                <w:sz w:val="19"/>
                <w:szCs w:val="19"/>
                <w:color w:val="auto"/>
              </w:rPr>
            </w:pPr>
          </w:p>
        </w:tc>
        <w:tc>
          <w:tcPr>
            <w:tcW w:w="2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r>
      <w:tr>
        <w:trPr>
          <w:trHeight w:val="215"/>
        </w:trPr>
        <w:tc>
          <w:tcPr>
            <w:tcW w:w="4320" w:type="dxa"/>
            <w:vAlign w:val="bottom"/>
            <w:tcBorders>
              <w:bottom w:val="single" w:sz="8" w:color="E3E3E3"/>
            </w:tcBorders>
            <w:shd w:val="clear" w:color="auto" w:fill="E3E3E3"/>
          </w:tcPr>
          <w:p>
            <w:pPr>
              <w:ind w:left="180"/>
              <w:spacing w:after="0" w:line="215" w:lineRule="exact"/>
              <w:rPr>
                <w:sz w:val="20"/>
                <w:szCs w:val="20"/>
                <w:color w:val="auto"/>
              </w:rPr>
            </w:pPr>
            <w:r>
              <w:rPr>
                <w:rFonts w:ascii="Times New Roman" w:cs="Times New Roman" w:eastAsia="Times New Roman" w:hAnsi="Times New Roman"/>
                <w:sz w:val="20"/>
                <w:szCs w:val="20"/>
                <w:color w:val="auto"/>
              </w:rPr>
              <w:t>Options exercised</w:t>
            </w:r>
          </w:p>
        </w:tc>
        <w:tc>
          <w:tcPr>
            <w:tcW w:w="120" w:type="dxa"/>
            <w:vAlign w:val="bottom"/>
            <w:tcBorders>
              <w:bottom w:val="single" w:sz="8" w:color="E3E3E3"/>
              <w:right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320" w:type="dxa"/>
            <w:vAlign w:val="bottom"/>
            <w:tcBorders>
              <w:bottom w:val="single" w:sz="8" w:color="E3E3E3"/>
              <w:right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(225,209)</w:t>
            </w: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0" w:type="dxa"/>
            <w:vAlign w:val="bottom"/>
            <w:tcBorders>
              <w:bottom w:val="single" w:sz="8" w:color="E3E3E3"/>
            </w:tcBorders>
            <w:shd w:val="clear" w:color="auto" w:fill="E3E3E3"/>
          </w:tcPr>
          <w:p>
            <w:pPr>
              <w:spacing w:after="0"/>
              <w:rPr>
                <w:sz w:val="18"/>
                <w:szCs w:val="18"/>
                <w:color w:val="auto"/>
              </w:rPr>
            </w:pP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1.51</w:t>
            </w:r>
          </w:p>
        </w:tc>
        <w:tc>
          <w:tcPr>
            <w:tcW w:w="2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300" w:type="dxa"/>
            <w:vAlign w:val="bottom"/>
            <w:tcBorders>
              <w:bottom w:val="single" w:sz="8" w:color="E3E3E3"/>
            </w:tcBorders>
            <w:shd w:val="clear" w:color="auto" w:fill="E3E3E3"/>
          </w:tcPr>
          <w:p>
            <w:pPr>
              <w:spacing w:after="0"/>
              <w:rPr>
                <w:sz w:val="18"/>
                <w:szCs w:val="18"/>
                <w:color w:val="auto"/>
              </w:rPr>
            </w:pPr>
          </w:p>
        </w:tc>
        <w:tc>
          <w:tcPr>
            <w:tcW w:w="2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30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r>
      <w:tr>
        <w:trPr>
          <w:trHeight w:val="227"/>
        </w:trPr>
        <w:tc>
          <w:tcPr>
            <w:tcW w:w="4440" w:type="dxa"/>
            <w:vAlign w:val="bottom"/>
            <w:tcBorders>
              <w:bottom w:val="single" w:sz="8" w:color="E3E3E3"/>
            </w:tcBorders>
            <w:gridSpan w:val="2"/>
          </w:tcPr>
          <w:p>
            <w:pPr>
              <w:ind w:left="180"/>
              <w:spacing w:after="0" w:line="228" w:lineRule="exact"/>
              <w:rPr>
                <w:sz w:val="20"/>
                <w:szCs w:val="20"/>
                <w:color w:val="auto"/>
              </w:rPr>
            </w:pPr>
            <w:r>
              <w:rPr>
                <w:rFonts w:ascii="Times New Roman" w:cs="Times New Roman" w:eastAsia="Times New Roman" w:hAnsi="Times New Roman"/>
                <w:sz w:val="20"/>
                <w:szCs w:val="20"/>
                <w:color w:val="auto"/>
              </w:rPr>
              <w:t>Options forfeited/canceled</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(1,735,725)</w:t>
            </w: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2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17.27</w:t>
            </w:r>
          </w:p>
        </w:tc>
        <w:tc>
          <w:tcPr>
            <w:tcW w:w="2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spacing w:after="0"/>
              <w:rPr>
                <w:sz w:val="19"/>
                <w:szCs w:val="19"/>
                <w:color w:val="auto"/>
              </w:rPr>
            </w:pPr>
          </w:p>
        </w:tc>
        <w:tc>
          <w:tcPr>
            <w:tcW w:w="2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r>
      <w:tr>
        <w:trPr>
          <w:trHeight w:val="291"/>
        </w:trPr>
        <w:tc>
          <w:tcPr>
            <w:tcW w:w="4320" w:type="dxa"/>
            <w:vAlign w:val="bottom"/>
            <w:tcBorders>
              <w:bottom w:val="single" w:sz="8" w:color="E3E3E3"/>
            </w:tcBorders>
            <w:shd w:val="clear" w:color="auto" w:fill="E3E3E3"/>
          </w:tcPr>
          <w:p>
            <w:pPr>
              <w:spacing w:after="0" w:line="223" w:lineRule="exact"/>
              <w:rPr>
                <w:sz w:val="20"/>
                <w:szCs w:val="20"/>
                <w:color w:val="auto"/>
              </w:rPr>
            </w:pPr>
            <w:r>
              <w:rPr>
                <w:rFonts w:ascii="Times New Roman" w:cs="Times New Roman" w:eastAsia="Times New Roman" w:hAnsi="Times New Roman"/>
                <w:sz w:val="20"/>
                <w:szCs w:val="20"/>
                <w:color w:val="auto"/>
              </w:rPr>
              <w:t>Outstanding as of December 31, 2025</w:t>
            </w:r>
          </w:p>
        </w:tc>
        <w:tc>
          <w:tcPr>
            <w:tcW w:w="120" w:type="dxa"/>
            <w:vAlign w:val="bottom"/>
            <w:tcBorders>
              <w:bottom w:val="single" w:sz="8" w:color="E3E3E3"/>
              <w:right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320" w:type="dxa"/>
            <w:vAlign w:val="bottom"/>
            <w:tcBorders>
              <w:bottom w:val="single" w:sz="8" w:color="E3E3E3"/>
              <w:right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4,157,094</w:t>
            </w:r>
          </w:p>
        </w:tc>
        <w:tc>
          <w:tcPr>
            <w:tcW w:w="8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2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15.01</w:t>
            </w:r>
          </w:p>
        </w:tc>
        <w:tc>
          <w:tcPr>
            <w:tcW w:w="22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spacing w:after="0"/>
              <w:rPr>
                <w:sz w:val="24"/>
                <w:szCs w:val="24"/>
                <w:color w:val="auto"/>
              </w:rPr>
            </w:pPr>
          </w:p>
        </w:tc>
        <w:tc>
          <w:tcPr>
            <w:tcW w:w="130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8.19</w:t>
            </w:r>
          </w:p>
        </w:tc>
        <w:tc>
          <w:tcPr>
            <w:tcW w:w="220" w:type="dxa"/>
            <w:vAlign w:val="bottom"/>
            <w:tcBorders>
              <w:bottom w:val="single" w:sz="8" w:color="E3E3E3"/>
            </w:tcBorders>
            <w:shd w:val="clear" w:color="auto" w:fill="E3E3E3"/>
          </w:tcPr>
          <w:p>
            <w:pPr>
              <w:spacing w:after="0"/>
              <w:rPr>
                <w:sz w:val="24"/>
                <w:szCs w:val="24"/>
                <w:color w:val="auto"/>
              </w:rPr>
            </w:pPr>
          </w:p>
        </w:tc>
        <w:tc>
          <w:tcPr>
            <w:tcW w:w="10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3" w:lineRule="exact"/>
              <w:rPr>
                <w:sz w:val="20"/>
                <w:szCs w:val="20"/>
                <w:color w:val="auto"/>
              </w:rPr>
            </w:pPr>
            <w:r>
              <w:rPr>
                <w:rFonts w:ascii="Times New Roman" w:cs="Times New Roman" w:eastAsia="Times New Roman" w:hAnsi="Times New Roman"/>
                <w:sz w:val="20"/>
                <w:szCs w:val="20"/>
                <w:color w:val="auto"/>
              </w:rPr>
              <w:t>696,000</w:t>
            </w:r>
          </w:p>
        </w:tc>
        <w:tc>
          <w:tcPr>
            <w:tcW w:w="100" w:type="dxa"/>
            <w:vAlign w:val="bottom"/>
            <w:tcBorders>
              <w:bottom w:val="single" w:sz="8" w:color="E3E3E3"/>
            </w:tcBorders>
            <w:shd w:val="clear" w:color="auto" w:fill="E3E3E3"/>
          </w:tcPr>
          <w:p>
            <w:pPr>
              <w:spacing w:after="0"/>
              <w:rPr>
                <w:sz w:val="24"/>
                <w:szCs w:val="24"/>
                <w:color w:val="auto"/>
              </w:rPr>
            </w:pPr>
          </w:p>
        </w:tc>
      </w:tr>
      <w:tr>
        <w:trPr>
          <w:trHeight w:val="303"/>
        </w:trPr>
        <w:tc>
          <w:tcPr>
            <w:tcW w:w="4320" w:type="dxa"/>
            <w:vAlign w:val="bottom"/>
            <w:tcBorders>
              <w:top w:val="single" w:sz="8" w:color="E3E3E3"/>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Vested and expected to vest at December 31, 2025</w:t>
            </w:r>
          </w:p>
        </w:tc>
        <w:tc>
          <w:tcPr>
            <w:tcW w:w="120" w:type="dxa"/>
            <w:vAlign w:val="bottom"/>
            <w:tcBorders>
              <w:top w:val="single" w:sz="8" w:color="E3E3E3"/>
              <w:bottom w:val="single" w:sz="8" w:color="E3E3E3"/>
            </w:tcBorders>
          </w:tcPr>
          <w:p>
            <w:pPr>
              <w:spacing w:after="0"/>
              <w:rPr>
                <w:sz w:val="24"/>
                <w:szCs w:val="24"/>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4,157,094</w:t>
            </w:r>
          </w:p>
        </w:tc>
        <w:tc>
          <w:tcPr>
            <w:tcW w:w="80" w:type="dxa"/>
            <w:vAlign w:val="bottom"/>
            <w:tcBorders>
              <w:top w:val="single" w:sz="8" w:color="E3E3E3"/>
              <w:bottom w:val="single" w:sz="8" w:color="E3E3E3"/>
            </w:tcBorders>
          </w:tcPr>
          <w:p>
            <w:pPr>
              <w:spacing w:after="0"/>
              <w:rPr>
                <w:sz w:val="24"/>
                <w:szCs w:val="24"/>
                <w:color w:val="auto"/>
              </w:rPr>
            </w:pPr>
          </w:p>
        </w:tc>
        <w:tc>
          <w:tcPr>
            <w:tcW w:w="100" w:type="dxa"/>
            <w:vAlign w:val="bottom"/>
            <w:tcBorders>
              <w:top w:val="single" w:sz="8" w:color="E3E3E3"/>
              <w:bottom w:val="single" w:sz="8" w:color="E3E3E3"/>
            </w:tcBorders>
          </w:tcPr>
          <w:p>
            <w:pPr>
              <w:spacing w:after="0"/>
              <w:rPr>
                <w:sz w:val="24"/>
                <w:szCs w:val="24"/>
                <w:color w:val="auto"/>
              </w:rPr>
            </w:pPr>
          </w:p>
        </w:tc>
        <w:tc>
          <w:tcPr>
            <w:tcW w:w="120" w:type="dxa"/>
            <w:vAlign w:val="bottom"/>
            <w:tcBorders>
              <w:top w:val="single" w:sz="8" w:color="E3E3E3"/>
              <w:bottom w:val="single" w:sz="8" w:color="E3E3E3"/>
            </w:tcBorders>
          </w:tcPr>
          <w:p>
            <w:pPr>
              <w:spacing w:after="0"/>
              <w:rPr>
                <w:sz w:val="24"/>
                <w:szCs w:val="24"/>
                <w:color w:val="auto"/>
              </w:rPr>
            </w:pPr>
          </w:p>
        </w:tc>
        <w:tc>
          <w:tcPr>
            <w:tcW w:w="1300" w:type="dxa"/>
            <w:vAlign w:val="bottom"/>
            <w:tcBorders>
              <w:top w:val="single" w:sz="8" w:color="E3E3E3"/>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15.01</w:t>
            </w:r>
          </w:p>
        </w:tc>
        <w:tc>
          <w:tcPr>
            <w:tcW w:w="1620" w:type="dxa"/>
            <w:vAlign w:val="bottom"/>
            <w:tcBorders>
              <w:top w:val="single" w:sz="8" w:color="E3E3E3"/>
              <w:bottom w:val="single" w:sz="8" w:color="E3E3E3"/>
            </w:tcBorders>
            <w:gridSpan w:val="3"/>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320" w:type="dxa"/>
            <w:vAlign w:val="bottom"/>
            <w:tcBorders>
              <w:top w:val="single" w:sz="8" w:color="E3E3E3"/>
              <w:bottom w:val="single" w:sz="8" w:color="E3E3E3"/>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E3E3E3"/>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696,000</w:t>
            </w:r>
          </w:p>
        </w:tc>
        <w:tc>
          <w:tcPr>
            <w:tcW w:w="100" w:type="dxa"/>
            <w:vAlign w:val="bottom"/>
            <w:tcBorders>
              <w:top w:val="single" w:sz="8" w:color="E3E3E3"/>
              <w:bottom w:val="single" w:sz="8" w:color="E3E3E3"/>
            </w:tcBorders>
          </w:tcPr>
          <w:p>
            <w:pPr>
              <w:spacing w:after="0"/>
              <w:rPr>
                <w:sz w:val="24"/>
                <w:szCs w:val="24"/>
                <w:color w:val="auto"/>
              </w:rPr>
            </w:pPr>
          </w:p>
        </w:tc>
      </w:tr>
      <w:tr>
        <w:trPr>
          <w:trHeight w:val="245"/>
        </w:trPr>
        <w:tc>
          <w:tcPr>
            <w:tcW w:w="4320" w:type="dxa"/>
            <w:vAlign w:val="bottom"/>
            <w:tcBorders>
              <w:top w:val="single" w:sz="8" w:color="E3E3E3"/>
              <w:bottom w:val="single" w:sz="8" w:color="E3E3E3"/>
            </w:tcBorders>
            <w:shd w:val="clear" w:color="auto" w:fill="E3E3E3"/>
          </w:tcPr>
          <w:p>
            <w:pPr>
              <w:spacing w:after="0" w:line="196" w:lineRule="exact"/>
              <w:rPr>
                <w:sz w:val="20"/>
                <w:szCs w:val="20"/>
                <w:color w:val="auto"/>
              </w:rPr>
            </w:pPr>
            <w:r>
              <w:rPr>
                <w:rFonts w:ascii="Times New Roman" w:cs="Times New Roman" w:eastAsia="Times New Roman" w:hAnsi="Times New Roman"/>
                <w:sz w:val="20"/>
                <w:szCs w:val="20"/>
                <w:color w:val="auto"/>
              </w:rPr>
              <w:t>Exercisable at December 31, 2025</w:t>
            </w:r>
          </w:p>
        </w:tc>
        <w:tc>
          <w:tcPr>
            <w:tcW w:w="120" w:type="dxa"/>
            <w:vAlign w:val="bottom"/>
            <w:tcBorders>
              <w:top w:val="single" w:sz="8" w:color="E3E3E3"/>
              <w:bottom w:val="single" w:sz="8" w:color="E3E3E3"/>
              <w:right w:val="single" w:sz="8" w:color="E3E3E3"/>
            </w:tcBorders>
            <w:shd w:val="clear" w:color="auto" w:fill="E3E3E3"/>
          </w:tcPr>
          <w:p>
            <w:pPr>
              <w:spacing w:after="0"/>
              <w:rPr>
                <w:sz w:val="20"/>
                <w:szCs w:val="20"/>
                <w:color w:val="auto"/>
              </w:rPr>
            </w:pP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320" w:type="dxa"/>
            <w:vAlign w:val="bottom"/>
            <w:tcBorders>
              <w:top w:val="single" w:sz="8" w:color="E3E3E3"/>
              <w:bottom w:val="single" w:sz="8" w:color="E3E3E3"/>
              <w:right w:val="single" w:sz="8" w:color="E3E3E3"/>
            </w:tcBorders>
            <w:shd w:val="clear" w:color="auto" w:fill="E3E3E3"/>
          </w:tcPr>
          <w:p>
            <w:pPr>
              <w:jc w:val="right"/>
              <w:spacing w:after="0" w:line="196" w:lineRule="exact"/>
              <w:rPr>
                <w:sz w:val="20"/>
                <w:szCs w:val="20"/>
                <w:color w:val="auto"/>
              </w:rPr>
            </w:pPr>
            <w:r>
              <w:rPr>
                <w:rFonts w:ascii="Times New Roman" w:cs="Times New Roman" w:eastAsia="Times New Roman" w:hAnsi="Times New Roman"/>
                <w:sz w:val="20"/>
                <w:szCs w:val="20"/>
                <w:color w:val="auto"/>
              </w:rPr>
              <w:t>1,557,052</w:t>
            </w:r>
          </w:p>
        </w:tc>
        <w:tc>
          <w:tcPr>
            <w:tcW w:w="80" w:type="dxa"/>
            <w:vAlign w:val="bottom"/>
            <w:tcBorders>
              <w:top w:val="single" w:sz="8" w:color="E3E3E3"/>
              <w:bottom w:val="single" w:sz="8" w:color="E3E3E3"/>
            </w:tcBorders>
            <w:shd w:val="clear" w:color="auto" w:fill="E3E3E3"/>
          </w:tcPr>
          <w:p>
            <w:pPr>
              <w:spacing w:after="0"/>
              <w:rPr>
                <w:sz w:val="20"/>
                <w:szCs w:val="20"/>
                <w:color w:val="auto"/>
              </w:rPr>
            </w:pP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20" w:type="dxa"/>
            <w:vAlign w:val="bottom"/>
            <w:tcBorders>
              <w:top w:val="single" w:sz="8" w:color="E3E3E3"/>
              <w:bottom w:val="single" w:sz="8" w:color="E3E3E3"/>
            </w:tcBorders>
            <w:shd w:val="clear" w:color="auto" w:fill="E3E3E3"/>
          </w:tcPr>
          <w:p>
            <w:pPr>
              <w:jc w:val="right"/>
              <w:spacing w:after="0" w:line="196" w:lineRule="exact"/>
              <w:rPr>
                <w:sz w:val="20"/>
                <w:szCs w:val="20"/>
                <w:color w:val="auto"/>
              </w:rPr>
            </w:pPr>
            <w:r>
              <w:rPr>
                <w:rFonts w:ascii="Times New Roman" w:cs="Times New Roman" w:eastAsia="Times New Roman" w:hAnsi="Times New Roman"/>
                <w:sz w:val="20"/>
                <w:szCs w:val="20"/>
                <w:color w:val="auto"/>
                <w:w w:val="99"/>
                <w:shd w:val="clear" w:color="auto" w:fill="E3E3E3"/>
              </w:rPr>
              <w:t>$</w:t>
            </w:r>
          </w:p>
        </w:tc>
        <w:tc>
          <w:tcPr>
            <w:tcW w:w="1300" w:type="dxa"/>
            <w:vAlign w:val="bottom"/>
            <w:tcBorders>
              <w:top w:val="single" w:sz="8" w:color="E3E3E3"/>
              <w:bottom w:val="single" w:sz="8" w:color="E3E3E3"/>
            </w:tcBorders>
            <w:shd w:val="clear" w:color="auto" w:fill="E3E3E3"/>
          </w:tcPr>
          <w:p>
            <w:pPr>
              <w:jc w:val="right"/>
              <w:spacing w:after="0" w:line="196" w:lineRule="exact"/>
              <w:rPr>
                <w:sz w:val="20"/>
                <w:szCs w:val="20"/>
                <w:color w:val="auto"/>
              </w:rPr>
            </w:pPr>
            <w:r>
              <w:rPr>
                <w:rFonts w:ascii="Times New Roman" w:cs="Times New Roman" w:eastAsia="Times New Roman" w:hAnsi="Times New Roman"/>
                <w:sz w:val="20"/>
                <w:szCs w:val="20"/>
                <w:color w:val="auto"/>
              </w:rPr>
              <w:t>20.18</w:t>
            </w:r>
          </w:p>
        </w:tc>
        <w:tc>
          <w:tcPr>
            <w:tcW w:w="220" w:type="dxa"/>
            <w:vAlign w:val="bottom"/>
            <w:tcBorders>
              <w:top w:val="single" w:sz="8" w:color="E3E3E3"/>
              <w:bottom w:val="single" w:sz="8" w:color="E3E3E3"/>
            </w:tcBorders>
            <w:shd w:val="clear" w:color="auto" w:fill="E3E3E3"/>
          </w:tcPr>
          <w:p>
            <w:pPr>
              <w:spacing w:after="0"/>
              <w:rPr>
                <w:sz w:val="20"/>
                <w:szCs w:val="20"/>
                <w:color w:val="auto"/>
              </w:rPr>
            </w:pP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300" w:type="dxa"/>
            <w:vAlign w:val="bottom"/>
            <w:tcBorders>
              <w:top w:val="single" w:sz="8" w:color="E3E3E3"/>
              <w:bottom w:val="single" w:sz="8" w:color="E3E3E3"/>
            </w:tcBorders>
            <w:shd w:val="clear" w:color="auto" w:fill="E3E3E3"/>
          </w:tcPr>
          <w:p>
            <w:pPr>
              <w:jc w:val="right"/>
              <w:spacing w:after="0" w:line="196" w:lineRule="exact"/>
              <w:rPr>
                <w:sz w:val="20"/>
                <w:szCs w:val="20"/>
                <w:color w:val="auto"/>
              </w:rPr>
            </w:pPr>
            <w:r>
              <w:rPr>
                <w:rFonts w:ascii="Times New Roman" w:cs="Times New Roman" w:eastAsia="Times New Roman" w:hAnsi="Times New Roman"/>
                <w:sz w:val="20"/>
                <w:szCs w:val="20"/>
                <w:color w:val="auto"/>
              </w:rPr>
              <w:t>6.82</w:t>
            </w:r>
          </w:p>
        </w:tc>
        <w:tc>
          <w:tcPr>
            <w:tcW w:w="220" w:type="dxa"/>
            <w:vAlign w:val="bottom"/>
            <w:tcBorders>
              <w:top w:val="single" w:sz="8" w:color="E3E3E3"/>
              <w:bottom w:val="single" w:sz="8" w:color="E3E3E3"/>
            </w:tcBorders>
            <w:shd w:val="clear" w:color="auto" w:fill="E3E3E3"/>
          </w:tcPr>
          <w:p>
            <w:pPr>
              <w:spacing w:after="0"/>
              <w:rPr>
                <w:sz w:val="20"/>
                <w:szCs w:val="20"/>
                <w:color w:val="auto"/>
              </w:rPr>
            </w:pPr>
          </w:p>
        </w:tc>
        <w:tc>
          <w:tcPr>
            <w:tcW w:w="100" w:type="dxa"/>
            <w:vAlign w:val="bottom"/>
            <w:tcBorders>
              <w:top w:val="single" w:sz="8" w:color="E3E3E3"/>
              <w:bottom w:val="single" w:sz="8" w:color="E3E3E3"/>
            </w:tcBorders>
            <w:shd w:val="clear" w:color="auto" w:fill="E3E3E3"/>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E3E3E3"/>
              <w:bottom w:val="single" w:sz="8" w:color="E3E3E3"/>
            </w:tcBorders>
            <w:shd w:val="clear" w:color="auto" w:fill="E3E3E3"/>
          </w:tcPr>
          <w:p>
            <w:pPr>
              <w:jc w:val="right"/>
              <w:spacing w:after="0" w:line="196" w:lineRule="exact"/>
              <w:rPr>
                <w:sz w:val="20"/>
                <w:szCs w:val="20"/>
                <w:color w:val="auto"/>
              </w:rPr>
            </w:pPr>
            <w:r>
              <w:rPr>
                <w:rFonts w:ascii="Times New Roman" w:cs="Times New Roman" w:eastAsia="Times New Roman" w:hAnsi="Times New Roman"/>
                <w:sz w:val="20"/>
                <w:szCs w:val="20"/>
                <w:color w:val="auto"/>
              </w:rPr>
              <w:t>45,000</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r>
      <w:tr>
        <w:trPr>
          <w:trHeight w:val="20"/>
        </w:trPr>
        <w:tc>
          <w:tcPr>
            <w:tcW w:w="432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E3E3E3"/>
            </w:tcBorders>
          </w:tcPr>
          <w:p>
            <w:pPr>
              <w:spacing w:after="0" w:line="20" w:lineRule="exact"/>
              <w:rPr>
                <w:sz w:val="1"/>
                <w:szCs w:val="1"/>
                <w:color w:val="auto"/>
              </w:rPr>
            </w:pPr>
          </w:p>
        </w:tc>
        <w:tc>
          <w:tcPr>
            <w:tcW w:w="13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300" w:type="dxa"/>
            <w:vAlign w:val="bottom"/>
            <w:tcBorders>
              <w:top w:val="single" w:sz="8" w:color="E3E3E3"/>
            </w:tcBorders>
          </w:tcPr>
          <w:p>
            <w:pPr>
              <w:spacing w:after="0" w:line="20" w:lineRule="exact"/>
              <w:rPr>
                <w:sz w:val="1"/>
                <w:szCs w:val="1"/>
                <w:color w:val="auto"/>
              </w:rPr>
            </w:pPr>
          </w:p>
        </w:tc>
        <w:tc>
          <w:tcPr>
            <w:tcW w:w="22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1300" w:type="dxa"/>
            <w:vAlign w:val="bottom"/>
            <w:tcBorders>
              <w:top w:val="single" w:sz="8" w:color="E3E3E3"/>
            </w:tcBorders>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3703955</wp:posOffset>
                </wp:positionH>
                <wp:positionV relativeFrom="paragraph">
                  <wp:posOffset>-1341120</wp:posOffset>
                </wp:positionV>
                <wp:extent cx="13716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5pt,-105.5999pt" to="302.45pt,-105.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-1033145</wp:posOffset>
                </wp:positionV>
                <wp:extent cx="685927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1.3499pt" to="540.3pt,-81.34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-392430</wp:posOffset>
                </wp:positionV>
                <wp:extent cx="281114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1114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0.8999pt" to="221.55pt,-30.8999pt" o:allowincell="f" strokecolor="#FFFFFF" strokeweight="2.2799pt"/>
            </w:pict>
          </mc:Fallback>
        </mc:AlternateContent>
        <mc:AlternateContent>
          <mc:Choice Requires="wps">
            <w:drawing>
              <wp:anchor simplePos="0" relativeHeight="251657728" behindDoc="1" locked="0" layoutInCell="0" allowOverlap="1">
                <wp:simplePos x="0" y="0"/>
                <wp:positionH relativeFrom="column">
                  <wp:posOffset>2813685</wp:posOffset>
                </wp:positionH>
                <wp:positionV relativeFrom="paragraph">
                  <wp:posOffset>-378460</wp:posOffset>
                </wp:positionV>
                <wp:extent cx="89027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0270" cy="4763"/>
                        </a:xfrm>
                        <a:prstGeom prst="line">
                          <a:avLst/>
                        </a:prstGeom>
                        <a:solidFill>
                          <a:srgbClr val="FFFFFF"/>
                        </a:solidFill>
                        <a:ln w="1524">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1.55pt,-29.7999pt" to="291.65pt,-29.7999pt" o:allowincell="f" strokecolor="#FFFFFF" strokeweight="0.12pt"/>
            </w:pict>
          </mc:Fallback>
        </mc:AlternateContent>
        <mc:AlternateContent>
          <mc:Choice Requires="wps">
            <w:drawing>
              <wp:anchor simplePos="0" relativeHeight="251657728" behindDoc="1" locked="0" layoutInCell="0" allowOverlap="1">
                <wp:simplePos x="0" y="0"/>
                <wp:positionH relativeFrom="column">
                  <wp:posOffset>3703955</wp:posOffset>
                </wp:positionH>
                <wp:positionV relativeFrom="paragraph">
                  <wp:posOffset>-392430</wp:posOffset>
                </wp:positionV>
                <wp:extent cx="315785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57855" cy="4763"/>
                        </a:xfrm>
                        <a:prstGeom prst="line">
                          <a:avLst/>
                        </a:prstGeom>
                        <a:solidFill>
                          <a:srgbClr val="FFFFFF"/>
                        </a:solidFill>
                        <a:ln w="28955">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5pt,-30.8999pt" to="540.3pt,-30.8999pt" o:allowincell="f" strokecolor="#FFFFFF" strokeweight="2.2799pt"/>
            </w:pict>
          </mc:Fallback>
        </mc:AlternateContent>
      </w:r>
    </w:p>
    <w:p>
      <w:pPr>
        <w:spacing w:after="0" w:line="190"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2025, there were 225,209 stock options exercised. Of the stock options exercised, 120,492 stock options were net settled in satisfaction of the exercise price, with no cash proceeds received. Cash proceeds to the Company for options not net settled totaled $90,000 during the year ended December 31, 2025</w:t>
      </w:r>
      <w:r>
        <w:rPr>
          <w:rFonts w:ascii="Times New Roman" w:cs="Times New Roman" w:eastAsia="Times New Roman" w:hAnsi="Times New Roman"/>
          <w:sz w:val="20"/>
          <w:szCs w:val="20"/>
          <w:i w:val="1"/>
          <w:iCs w:val="1"/>
          <w:color w:val="auto"/>
        </w:rPr>
        <w:t>.</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following summarizes information about stock options at December 31, 2025 by a range of exercise prices: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Options outstanding</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2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Options exercisable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00"/>
              <w:spacing w:after="0" w:line="21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6"/>
              </w:rPr>
              <w:t>Number of</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average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60" w:type="dxa"/>
            <w:vAlign w:val="bottom"/>
            <w:gridSpan w:val="8"/>
          </w:tcPr>
          <w:p>
            <w:pPr>
              <w:ind w:left="200"/>
              <w:spacing w:after="0"/>
              <w:rPr>
                <w:sz w:val="20"/>
                <w:szCs w:val="20"/>
                <w:color w:val="auto"/>
              </w:rPr>
            </w:pPr>
            <w:r>
              <w:rPr>
                <w:rFonts w:ascii="Times New Roman" w:cs="Times New Roman" w:eastAsia="Times New Roman" w:hAnsi="Times New Roman"/>
                <w:sz w:val="20"/>
                <w:szCs w:val="20"/>
                <w:b w:val="1"/>
                <w:bCs w:val="1"/>
                <w:color w:val="auto"/>
              </w:rPr>
              <w:t>Range of exercise prices</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outstanding</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vested</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From</w:t>
            </w: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To</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options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life (in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6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0" w:type="dxa"/>
            <w:vAlign w:val="bottom"/>
            <w:tcBorders>
              <w:top w:val="single" w:sz="8" w:color="auto"/>
              <w:bottom w:val="single" w:sz="8" w:color="E3E3E3"/>
            </w:tcBorders>
            <w:shd w:val="clear" w:color="auto" w:fill="E3E3E3"/>
          </w:tcPr>
          <w:p>
            <w:pPr>
              <w:spacing w:after="0"/>
              <w:rPr>
                <w:sz w:val="21"/>
                <w:szCs w:val="21"/>
                <w:color w:val="auto"/>
              </w:rPr>
            </w:pPr>
          </w:p>
        </w:tc>
        <w:tc>
          <w:tcPr>
            <w:tcW w:w="108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0.95</w:t>
            </w:r>
          </w:p>
        </w:tc>
        <w:tc>
          <w:tcPr>
            <w:tcW w:w="16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E3E3E3"/>
              <w:bottom w:val="single" w:sz="8" w:color="E3E3E3"/>
            </w:tcBorders>
            <w:shd w:val="clear" w:color="auto" w:fill="E3E3E3"/>
          </w:tcPr>
          <w:p>
            <w:pPr>
              <w:spacing w:after="0"/>
              <w:rPr>
                <w:sz w:val="21"/>
                <w:szCs w:val="21"/>
                <w:color w:val="auto"/>
              </w:rPr>
            </w:pPr>
          </w:p>
        </w:tc>
        <w:tc>
          <w:tcPr>
            <w:tcW w:w="14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0" w:type="dxa"/>
            <w:vAlign w:val="bottom"/>
            <w:tcBorders>
              <w:top w:val="single" w:sz="8" w:color="auto"/>
              <w:bottom w:val="single" w:sz="8" w:color="E3E3E3"/>
            </w:tcBorders>
            <w:shd w:val="clear" w:color="auto" w:fill="E3E3E3"/>
          </w:tcPr>
          <w:p>
            <w:pPr>
              <w:spacing w:after="0"/>
              <w:rPr>
                <w:sz w:val="21"/>
                <w:szCs w:val="21"/>
                <w:color w:val="auto"/>
              </w:rPr>
            </w:pPr>
          </w:p>
        </w:tc>
        <w:tc>
          <w:tcPr>
            <w:tcW w:w="108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0.95</w:t>
            </w:r>
          </w:p>
        </w:tc>
        <w:tc>
          <w:tcPr>
            <w:tcW w:w="30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auto"/>
              <w:bottom w:val="single" w:sz="8" w:color="E3E3E3"/>
            </w:tcBorders>
            <w:shd w:val="clear" w:color="auto" w:fill="E3E3E3"/>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8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34,000</w:t>
            </w:r>
          </w:p>
        </w:tc>
        <w:tc>
          <w:tcPr>
            <w:tcW w:w="140" w:type="dxa"/>
            <w:vAlign w:val="bottom"/>
            <w:tcBorders>
              <w:top w:val="single" w:sz="8" w:color="E3E3E3"/>
              <w:bottom w:val="single" w:sz="8" w:color="E3E3E3"/>
            </w:tcBorders>
            <w:shd w:val="clear" w:color="auto" w:fill="E3E3E3"/>
          </w:tcPr>
          <w:p>
            <w:pPr>
              <w:spacing w:after="0"/>
              <w:rPr>
                <w:sz w:val="21"/>
                <w:szCs w:val="21"/>
                <w:color w:val="auto"/>
              </w:rPr>
            </w:pPr>
          </w:p>
        </w:tc>
        <w:tc>
          <w:tcPr>
            <w:tcW w:w="40" w:type="dxa"/>
            <w:vAlign w:val="bottom"/>
            <w:tcBorders>
              <w:top w:val="single" w:sz="8" w:color="E3E3E3"/>
              <w:right w:val="single" w:sz="8" w:color="E3E3E3"/>
            </w:tcBorders>
          </w:tcPr>
          <w:p>
            <w:pPr>
              <w:spacing w:after="0"/>
              <w:rPr>
                <w:sz w:val="21"/>
                <w:szCs w:val="21"/>
                <w:color w:val="auto"/>
              </w:rPr>
            </w:pPr>
          </w:p>
        </w:tc>
        <w:tc>
          <w:tcPr>
            <w:tcW w:w="120" w:type="dxa"/>
            <w:vAlign w:val="bottom"/>
            <w:tcBorders>
              <w:top w:val="single" w:sz="8" w:color="E3E3E3"/>
              <w:bottom w:val="single" w:sz="8" w:color="E3E3E3"/>
            </w:tcBorders>
            <w:shd w:val="clear" w:color="auto" w:fill="E3E3E3"/>
          </w:tcPr>
          <w:p>
            <w:pPr>
              <w:spacing w:after="0"/>
              <w:rPr>
                <w:sz w:val="21"/>
                <w:szCs w:val="21"/>
                <w:color w:val="auto"/>
              </w:rPr>
            </w:pPr>
          </w:p>
        </w:tc>
        <w:tc>
          <w:tcPr>
            <w:tcW w:w="126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2.7</w:t>
            </w:r>
          </w:p>
        </w:tc>
        <w:tc>
          <w:tcPr>
            <w:tcW w:w="30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14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0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0.95</w:t>
            </w:r>
          </w:p>
        </w:tc>
        <w:tc>
          <w:tcPr>
            <w:tcW w:w="300" w:type="dxa"/>
            <w:vAlign w:val="bottom"/>
            <w:tcBorders>
              <w:top w:val="single" w:sz="8" w:color="E3E3E3"/>
              <w:bottom w:val="single" w:sz="8" w:color="E3E3E3"/>
            </w:tcBorders>
            <w:shd w:val="clear" w:color="auto" w:fill="E3E3E3"/>
          </w:tcPr>
          <w:p>
            <w:pPr>
              <w:spacing w:after="0"/>
              <w:rPr>
                <w:sz w:val="21"/>
                <w:szCs w:val="21"/>
                <w:color w:val="auto"/>
              </w:rPr>
            </w:pPr>
          </w:p>
        </w:tc>
        <w:tc>
          <w:tcPr>
            <w:tcW w:w="20" w:type="dxa"/>
            <w:vAlign w:val="bottom"/>
            <w:tcBorders>
              <w:top w:val="single" w:sz="8" w:color="E3E3E3"/>
              <w:bottom w:val="single" w:sz="8" w:color="E3E3E3"/>
            </w:tcBorders>
            <w:shd w:val="clear" w:color="auto" w:fill="E3E3E3"/>
          </w:tcPr>
          <w:p>
            <w:pPr>
              <w:spacing w:after="0"/>
              <w:rPr>
                <w:sz w:val="21"/>
                <w:szCs w:val="21"/>
                <w:color w:val="auto"/>
              </w:rPr>
            </w:pPr>
          </w:p>
        </w:tc>
        <w:tc>
          <w:tcPr>
            <w:tcW w:w="124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34,000</w:t>
            </w:r>
          </w:p>
        </w:tc>
        <w:tc>
          <w:tcPr>
            <w:tcW w:w="16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E3E3E3"/>
              <w:bottom w:val="single" w:sz="8" w:color="E3E3E3"/>
            </w:tcBorders>
            <w:shd w:val="clear" w:color="auto" w:fill="E3E3E3"/>
          </w:tcPr>
          <w:p>
            <w:pPr>
              <w:spacing w:after="0"/>
              <w:rPr>
                <w:sz w:val="21"/>
                <w:szCs w:val="21"/>
                <w:color w:val="auto"/>
              </w:rPr>
            </w:pPr>
          </w:p>
        </w:tc>
        <w:tc>
          <w:tcPr>
            <w:tcW w:w="16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00" w:type="dxa"/>
            <w:vAlign w:val="bottom"/>
            <w:tcBorders>
              <w:top w:val="single" w:sz="8" w:color="auto"/>
              <w:bottom w:val="single" w:sz="8" w:color="E3E3E3"/>
            </w:tcBorders>
            <w:shd w:val="clear" w:color="auto" w:fill="E3E3E3"/>
          </w:tcPr>
          <w:p>
            <w:pPr>
              <w:jc w:val="right"/>
              <w:spacing w:after="0" w:line="226" w:lineRule="exact"/>
              <w:rPr>
                <w:sz w:val="20"/>
                <w:szCs w:val="20"/>
                <w:color w:val="auto"/>
              </w:rPr>
            </w:pPr>
            <w:r>
              <w:rPr>
                <w:rFonts w:ascii="Times New Roman" w:cs="Times New Roman" w:eastAsia="Times New Roman" w:hAnsi="Times New Roman"/>
                <w:sz w:val="20"/>
                <w:szCs w:val="20"/>
                <w:color w:val="auto"/>
              </w:rPr>
              <w:t>0.95</w:t>
            </w:r>
          </w:p>
        </w:tc>
        <w:tc>
          <w:tcPr>
            <w:tcW w:w="140" w:type="dxa"/>
            <w:vAlign w:val="bottom"/>
            <w:tcBorders>
              <w:top w:val="single" w:sz="8" w:color="E3E3E3"/>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1.44</w:t>
            </w:r>
          </w:p>
        </w:tc>
        <w:tc>
          <w:tcPr>
            <w:tcW w:w="160" w:type="dxa"/>
            <w:vAlign w:val="bottom"/>
          </w:tcPr>
          <w:p>
            <w:pPr>
              <w:spacing w:after="0"/>
              <w:rPr>
                <w:sz w:val="17"/>
                <w:szCs w:val="17"/>
                <w:color w:val="auto"/>
              </w:rPr>
            </w:pPr>
          </w:p>
        </w:tc>
        <w:tc>
          <w:tcPr>
            <w:tcW w:w="3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1.44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1,067,000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9.3</w:t>
            </w:r>
          </w:p>
        </w:tc>
        <w:tc>
          <w:tcPr>
            <w:tcW w:w="300" w:type="dxa"/>
            <w:vAlign w:val="bottom"/>
          </w:tcPr>
          <w:p>
            <w:pPr>
              <w:spacing w:after="0"/>
              <w:rPr>
                <w:sz w:val="17"/>
                <w:szCs w:val="17"/>
                <w:color w:val="auto"/>
              </w:rPr>
            </w:pPr>
          </w:p>
        </w:tc>
        <w:tc>
          <w:tcPr>
            <w:tcW w:w="1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1.44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gridSpan w:val="3"/>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1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0" w:type="dxa"/>
            <w:vAlign w:val="bottom"/>
            <w:tcBorders>
              <w:bottom w:val="single" w:sz="8" w:color="E3E3E3"/>
            </w:tcBorders>
            <w:shd w:val="clear" w:color="auto" w:fill="E3E3E3"/>
          </w:tcPr>
          <w:p>
            <w:pPr>
              <w:spacing w:after="0"/>
              <w:rPr>
                <w:sz w:val="22"/>
                <w:szCs w:val="22"/>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6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0" w:type="dxa"/>
            <w:vAlign w:val="bottom"/>
            <w:tcBorders>
              <w:bottom w:val="single" w:sz="8" w:color="E3E3E3"/>
            </w:tcBorders>
            <w:shd w:val="clear" w:color="auto" w:fill="E3E3E3"/>
          </w:tcPr>
          <w:p>
            <w:pPr>
              <w:spacing w:after="0"/>
              <w:rPr>
                <w:sz w:val="22"/>
                <w:szCs w:val="22"/>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844,520</w:t>
            </w:r>
          </w:p>
        </w:tc>
        <w:tc>
          <w:tcPr>
            <w:tcW w:w="140" w:type="dxa"/>
            <w:vAlign w:val="bottom"/>
            <w:tcBorders>
              <w:bottom w:val="single" w:sz="8" w:color="E3E3E3"/>
            </w:tcBorders>
            <w:shd w:val="clear" w:color="auto" w:fill="E3E3E3"/>
          </w:tcPr>
          <w:p>
            <w:pPr>
              <w:spacing w:after="0"/>
              <w:rPr>
                <w:sz w:val="22"/>
                <w:szCs w:val="22"/>
                <w:color w:val="auto"/>
              </w:rPr>
            </w:pPr>
          </w:p>
        </w:tc>
        <w:tc>
          <w:tcPr>
            <w:tcW w:w="40" w:type="dxa"/>
            <w:vAlign w:val="bottom"/>
            <w:tcBorders>
              <w:right w:val="single" w:sz="8" w:color="E3E3E3"/>
            </w:tcBorders>
          </w:tcPr>
          <w:p>
            <w:pPr>
              <w:spacing w:after="0"/>
              <w:rPr>
                <w:sz w:val="22"/>
                <w:szCs w:val="22"/>
                <w:color w:val="auto"/>
              </w:rPr>
            </w:pPr>
          </w:p>
        </w:tc>
        <w:tc>
          <w:tcPr>
            <w:tcW w:w="120" w:type="dxa"/>
            <w:vAlign w:val="bottom"/>
            <w:tcBorders>
              <w:bottom w:val="single" w:sz="8" w:color="E3E3E3"/>
            </w:tcBorders>
            <w:shd w:val="clear" w:color="auto" w:fill="E3E3E3"/>
          </w:tcPr>
          <w:p>
            <w:pPr>
              <w:spacing w:after="0"/>
              <w:rPr>
                <w:sz w:val="22"/>
                <w:szCs w:val="22"/>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2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393,212</w:t>
            </w:r>
          </w:p>
        </w:tc>
        <w:tc>
          <w:tcPr>
            <w:tcW w:w="16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4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6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7"/>
                <w:szCs w:val="17"/>
                <w:color w:val="auto"/>
              </w:rPr>
            </w:pPr>
          </w:p>
        </w:tc>
        <w:tc>
          <w:tcPr>
            <w:tcW w:w="10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8.12</w:t>
            </w:r>
          </w:p>
        </w:tc>
        <w:tc>
          <w:tcPr>
            <w:tcW w:w="160" w:type="dxa"/>
            <w:vAlign w:val="bottom"/>
          </w:tcPr>
          <w:p>
            <w:pPr>
              <w:spacing w:after="0"/>
              <w:rPr>
                <w:sz w:val="17"/>
                <w:szCs w:val="17"/>
                <w:color w:val="auto"/>
              </w:rPr>
            </w:pPr>
          </w:p>
        </w:tc>
        <w:tc>
          <w:tcPr>
            <w:tcW w:w="30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0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26.91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1,360,782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rPr>
              <w:t>8.1</w:t>
            </w:r>
          </w:p>
        </w:tc>
        <w:tc>
          <w:tcPr>
            <w:tcW w:w="300" w:type="dxa"/>
            <w:vAlign w:val="bottom"/>
          </w:tcPr>
          <w:p>
            <w:pPr>
              <w:spacing w:after="0"/>
              <w:rPr>
                <w:sz w:val="17"/>
                <w:szCs w:val="17"/>
                <w:color w:val="auto"/>
              </w:rPr>
            </w:pPr>
          </w:p>
        </w:tc>
        <w:tc>
          <w:tcPr>
            <w:tcW w:w="16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23.50</w:t>
            </w:r>
          </w:p>
        </w:tc>
        <w:tc>
          <w:tcPr>
            <w:tcW w:w="156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auto"/>
              </w:rPr>
              <w:t>824,903</w:t>
            </w:r>
          </w:p>
        </w:tc>
        <w:tc>
          <w:tcPr>
            <w:tcW w:w="480" w:type="dxa"/>
            <w:vAlign w:val="bottom"/>
            <w:gridSpan w:val="3"/>
          </w:tcPr>
          <w:p>
            <w:pPr>
              <w:jc w:val="right"/>
              <w:spacing w:after="0" w:line="20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07" w:lineRule="exact"/>
              <w:rPr>
                <w:sz w:val="20"/>
                <w:szCs w:val="20"/>
                <w:color w:val="auto"/>
              </w:rPr>
            </w:pPr>
            <w:r>
              <w:rPr>
                <w:rFonts w:ascii="Times New Roman" w:cs="Times New Roman" w:eastAsia="Times New Roman" w:hAnsi="Times New Roman"/>
                <w:sz w:val="20"/>
                <w:szCs w:val="20"/>
                <w:color w:val="auto"/>
              </w:rPr>
              <w:t>22.70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0" w:type="dxa"/>
            <w:vAlign w:val="bottom"/>
            <w:tcBorders>
              <w:bottom w:val="single" w:sz="8" w:color="E3E3E3"/>
            </w:tcBorders>
            <w:shd w:val="clear" w:color="auto" w:fill="E3E3E3"/>
          </w:tcPr>
          <w:p>
            <w:pPr>
              <w:spacing w:after="0"/>
              <w:rPr>
                <w:sz w:val="22"/>
                <w:szCs w:val="22"/>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16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20" w:type="dxa"/>
            <w:vAlign w:val="bottom"/>
            <w:tcBorders>
              <w:bottom w:val="single" w:sz="8" w:color="E3E3E3"/>
            </w:tcBorders>
            <w:shd w:val="clear" w:color="auto" w:fill="E3E3E3"/>
          </w:tcPr>
          <w:p>
            <w:pPr>
              <w:spacing w:after="0"/>
              <w:rPr>
                <w:sz w:val="22"/>
                <w:szCs w:val="22"/>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77.00</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auto"/>
            </w:tcBorders>
            <w:shd w:val="clear" w:color="auto" w:fill="E3E3E3"/>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850,792</w:t>
            </w:r>
          </w:p>
        </w:tc>
        <w:tc>
          <w:tcPr>
            <w:tcW w:w="140" w:type="dxa"/>
            <w:vAlign w:val="bottom"/>
            <w:tcBorders>
              <w:bottom w:val="single" w:sz="8" w:color="E3E3E3"/>
            </w:tcBorders>
            <w:shd w:val="clear" w:color="auto" w:fill="E3E3E3"/>
          </w:tcPr>
          <w:p>
            <w:pPr>
              <w:spacing w:after="0"/>
              <w:rPr>
                <w:sz w:val="22"/>
                <w:szCs w:val="22"/>
                <w:color w:val="auto"/>
              </w:rPr>
            </w:pPr>
          </w:p>
        </w:tc>
        <w:tc>
          <w:tcPr>
            <w:tcW w:w="40" w:type="dxa"/>
            <w:vAlign w:val="bottom"/>
            <w:tcBorders>
              <w:right w:val="single" w:sz="8" w:color="E3E3E3"/>
            </w:tcBorders>
          </w:tcPr>
          <w:p>
            <w:pPr>
              <w:spacing w:after="0"/>
              <w:rPr>
                <w:sz w:val="22"/>
                <w:szCs w:val="22"/>
                <w:color w:val="auto"/>
              </w:rPr>
            </w:pPr>
          </w:p>
        </w:tc>
        <w:tc>
          <w:tcPr>
            <w:tcW w:w="120" w:type="dxa"/>
            <w:vAlign w:val="bottom"/>
            <w:tcBorders>
              <w:bottom w:val="single" w:sz="8" w:color="E3E3E3"/>
            </w:tcBorders>
            <w:shd w:val="clear" w:color="auto" w:fill="E3E3E3"/>
          </w:tcPr>
          <w:p>
            <w:pPr>
              <w:spacing w:after="0"/>
              <w:rPr>
                <w:sz w:val="22"/>
                <w:szCs w:val="22"/>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31.30</w:t>
            </w:r>
          </w:p>
        </w:tc>
        <w:tc>
          <w:tcPr>
            <w:tcW w:w="300" w:type="dxa"/>
            <w:vAlign w:val="bottom"/>
            <w:tcBorders>
              <w:bottom w:val="single" w:sz="8" w:color="E3E3E3"/>
            </w:tcBorders>
            <w:shd w:val="clear" w:color="auto" w:fill="E3E3E3"/>
          </w:tcPr>
          <w:p>
            <w:pPr>
              <w:spacing w:after="0"/>
              <w:rPr>
                <w:sz w:val="22"/>
                <w:szCs w:val="22"/>
                <w:color w:val="auto"/>
              </w:rPr>
            </w:pPr>
          </w:p>
        </w:tc>
        <w:tc>
          <w:tcPr>
            <w:tcW w:w="20" w:type="dxa"/>
            <w:vAlign w:val="bottom"/>
            <w:tcBorders>
              <w:bottom w:val="single" w:sz="8" w:color="E3E3E3"/>
            </w:tcBorders>
            <w:shd w:val="clear" w:color="auto" w:fill="E3E3E3"/>
          </w:tcPr>
          <w:p>
            <w:pPr>
              <w:spacing w:after="0"/>
              <w:rPr>
                <w:sz w:val="22"/>
                <w:szCs w:val="22"/>
                <w:color w:val="auto"/>
              </w:rPr>
            </w:pPr>
          </w:p>
        </w:tc>
        <w:tc>
          <w:tcPr>
            <w:tcW w:w="1240" w:type="dxa"/>
            <w:vAlign w:val="bottom"/>
            <w:tcBorders>
              <w:bottom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304,937</w:t>
            </w:r>
          </w:p>
        </w:tc>
        <w:tc>
          <w:tcPr>
            <w:tcW w:w="16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spacing w:after="0"/>
              <w:rPr>
                <w:sz w:val="22"/>
                <w:szCs w:val="22"/>
                <w:color w:val="auto"/>
              </w:rPr>
            </w:pPr>
          </w:p>
        </w:tc>
        <w:tc>
          <w:tcPr>
            <w:tcW w:w="1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1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37.48</w:t>
            </w:r>
          </w:p>
        </w:tc>
        <w:tc>
          <w:tcPr>
            <w:tcW w:w="14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4,157,094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3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1,557,052</w:t>
            </w:r>
          </w:p>
        </w:tc>
        <w:tc>
          <w:tcPr>
            <w:tcW w:w="16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90</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-1110615</wp:posOffset>
            </wp:positionV>
            <wp:extent cx="6859270" cy="4763"/>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
                      <a:extLst>
                        <a:ext uri="{28A0092B-C50C-407E-A947-70E740481C1C}"/>
                      </a:extLst>
                    </a:blip>
                    <a:srcRect/>
                    <a:stretch>
                      <a:fillRect/>
                    </a:stretch>
                  </pic:blipFill>
                  <pic:spPr bwMode="auto">
                    <a:xfrm>
                      <a:off x="0" y="0"/>
                      <a:ext cx="6859270" cy="4763"/>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-958215</wp:posOffset>
            </wp:positionV>
            <wp:extent cx="6859270" cy="4763"/>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extLst>
                    </a:blip>
                    <a:srcRect/>
                    <a:stretch>
                      <a:fillRect/>
                    </a:stretch>
                  </pic:blipFill>
                  <pic:spPr bwMode="auto">
                    <a:xfrm>
                      <a:off x="0" y="0"/>
                      <a:ext cx="6859270" cy="4763"/>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-805815</wp:posOffset>
            </wp:positionV>
            <wp:extent cx="6859270" cy="4763"/>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
                      <a:extLst>
                        <a:ext uri="{28A0092B-C50C-407E-A947-70E740481C1C}"/>
                      </a:extLst>
                    </a:blip>
                    <a:srcRect/>
                    <a:stretch>
                      <a:fillRect/>
                    </a:stretch>
                  </pic:blipFill>
                  <pic:spPr bwMode="auto">
                    <a:xfrm>
                      <a:off x="0" y="0"/>
                      <a:ext cx="6859270" cy="4763"/>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-653415</wp:posOffset>
            </wp:positionV>
            <wp:extent cx="6859270" cy="4763"/>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extLst>
                        <a:ext uri="{28A0092B-C50C-407E-A947-70E740481C1C}"/>
                      </a:extLst>
                    </a:blip>
                    <a:srcRect/>
                    <a:stretch>
                      <a:fillRect/>
                    </a:stretch>
                  </pic:blipFill>
                  <pic:spPr bwMode="auto">
                    <a:xfrm>
                      <a:off x="0" y="0"/>
                      <a:ext cx="6859270" cy="4763"/>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2540</wp:posOffset>
                </wp:positionH>
                <wp:positionV relativeFrom="paragraph">
                  <wp:posOffset>-495300</wp:posOffset>
                </wp:positionV>
                <wp:extent cx="199072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07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9pt" to="156.95pt,-3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2789555</wp:posOffset>
                </wp:positionH>
                <wp:positionV relativeFrom="paragraph">
                  <wp:posOffset>-495300</wp:posOffset>
                </wp:positionV>
                <wp:extent cx="218694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694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65pt,-39pt" to="391.85pt,-3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5770880</wp:posOffset>
                </wp:positionH>
                <wp:positionV relativeFrom="paragraph">
                  <wp:posOffset>-495300</wp:posOffset>
                </wp:positionV>
                <wp:extent cx="109093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9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4pt,-39pt" to="540.3pt,-39pt" o:allowincell="f" strokecolor="#FFFFFF"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98 / 117</w:t>
      </w:r>
    </w:p>
    <w:p>
      <w:pPr>
        <w:sectPr>
          <w:pgSz w:w="12240" w:h="15840" w:orient="portrait"/>
          <w:cols w:equalWidth="0" w:num="1">
            <w:col w:w="10800"/>
          </w:cols>
          <w:pgMar w:left="720" w:top="788" w:right="720" w:bottom="0" w:gutter="0" w:footer="0" w:header="0"/>
        </w:sectPr>
      </w:pPr>
    </w:p>
    <w:bookmarkStart w:id="98" w:name="page99"/>
    <w:bookmarkEnd w:id="98"/>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Company uses Black-Scholes to estimate the fair value of options granted. Black-Scholes considers a number of factors, including the market price of the Company’s common stock. Factors utilized in Black-Scholes to value each stock option granted, and the weighted average fair value of options granted during the years ended December 31, 2025, 2024 and 2023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40" w:type="dxa"/>
            <w:vAlign w:val="bottom"/>
            <w:tcBorders>
              <w:bottom w:val="single" w:sz="8" w:color="E3E3E3"/>
            </w:tcBorders>
          </w:tcPr>
          <w:p>
            <w:pPr>
              <w:spacing w:after="0"/>
              <w:rPr>
                <w:sz w:val="22"/>
                <w:szCs w:val="22"/>
                <w:color w:val="auto"/>
              </w:rPr>
            </w:pPr>
          </w:p>
        </w:tc>
        <w:tc>
          <w:tcPr>
            <w:tcW w:w="100" w:type="dxa"/>
            <w:vAlign w:val="bottom"/>
            <w:tcBorders>
              <w:bottom w:val="single" w:sz="8" w:color="E3E3E3"/>
            </w:tcBorders>
          </w:tcPr>
          <w:p>
            <w:pPr>
              <w:spacing w:after="0"/>
              <w:rPr>
                <w:sz w:val="22"/>
                <w:szCs w:val="22"/>
                <w:color w:val="auto"/>
              </w:rPr>
            </w:pPr>
          </w:p>
        </w:tc>
        <w:tc>
          <w:tcPr>
            <w:tcW w:w="110" w:type="dxa"/>
            <w:vAlign w:val="bottom"/>
            <w:tcBorders>
              <w:bottom w:val="single" w:sz="8" w:color="auto"/>
            </w:tcBorders>
          </w:tcPr>
          <w:p>
            <w:pPr>
              <w:spacing w:after="0"/>
              <w:rPr>
                <w:sz w:val="22"/>
                <w:szCs w:val="22"/>
                <w:color w:val="auto"/>
              </w:rPr>
            </w:pPr>
          </w:p>
        </w:tc>
        <w:tc>
          <w:tcPr>
            <w:tcW w:w="127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E3E3E3"/>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E3E3E3"/>
            </w:tcBorders>
          </w:tcPr>
          <w:p>
            <w:pPr>
              <w:spacing w:after="0"/>
              <w:rPr>
                <w:sz w:val="22"/>
                <w:szCs w:val="22"/>
                <w:color w:val="auto"/>
              </w:rPr>
            </w:pPr>
          </w:p>
        </w:tc>
        <w:tc>
          <w:tcPr>
            <w:tcW w:w="80" w:type="dxa"/>
            <w:vAlign w:val="bottom"/>
            <w:tcBorders>
              <w:bottom w:val="single" w:sz="8" w:color="E3E3E3"/>
            </w:tcBorders>
          </w:tcPr>
          <w:p>
            <w:pPr>
              <w:spacing w:after="0"/>
              <w:rPr>
                <w:sz w:val="22"/>
                <w:szCs w:val="22"/>
                <w:color w:val="auto"/>
              </w:rPr>
            </w:pPr>
          </w:p>
        </w:tc>
      </w:tr>
      <w:tr>
        <w:trPr>
          <w:trHeight w:val="230"/>
        </w:trPr>
        <w:tc>
          <w:tcPr>
            <w:tcW w:w="59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Volatility</w:t>
            </w:r>
          </w:p>
        </w:tc>
        <w:tc>
          <w:tcPr>
            <w:tcW w:w="100" w:type="dxa"/>
            <w:vAlign w:val="bottom"/>
            <w:tcBorders>
              <w:bottom w:val="single" w:sz="8" w:color="E3E3E3"/>
            </w:tcBorders>
            <w:shd w:val="clear" w:color="auto" w:fill="E3E3E3"/>
          </w:tcPr>
          <w:p>
            <w:pPr>
              <w:spacing w:after="0"/>
              <w:rPr>
                <w:sz w:val="19"/>
                <w:szCs w:val="19"/>
                <w:color w:val="auto"/>
              </w:rPr>
            </w:pPr>
          </w:p>
        </w:tc>
        <w:tc>
          <w:tcPr>
            <w:tcW w:w="110" w:type="dxa"/>
            <w:vAlign w:val="bottom"/>
            <w:tcBorders>
              <w:bottom w:val="single" w:sz="8" w:color="E3E3E3"/>
            </w:tcBorders>
            <w:shd w:val="clear" w:color="auto" w:fill="E3E3E3"/>
          </w:tcPr>
          <w:p>
            <w:pPr>
              <w:spacing w:after="0"/>
              <w:rPr>
                <w:sz w:val="19"/>
                <w:szCs w:val="19"/>
                <w:color w:val="auto"/>
              </w:rPr>
            </w:pPr>
          </w:p>
        </w:tc>
        <w:tc>
          <w:tcPr>
            <w:tcW w:w="127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 to 162%</w:t>
            </w:r>
          </w:p>
        </w:tc>
        <w:tc>
          <w:tcPr>
            <w:tcW w:w="20" w:type="dxa"/>
            <w:vAlign w:val="bottom"/>
            <w:tcBorders>
              <w:bottom w:val="single" w:sz="8" w:color="E3E3E3"/>
            </w:tcBorders>
            <w:shd w:val="clear" w:color="auto" w:fill="E3E3E3"/>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151% to 170%</w:t>
            </w:r>
          </w:p>
        </w:tc>
        <w:tc>
          <w:tcPr>
            <w:tcW w:w="20" w:type="dxa"/>
            <w:vAlign w:val="bottom"/>
            <w:tcBorders>
              <w:bottom w:val="single" w:sz="8" w:color="E3E3E3"/>
            </w:tcBorders>
            <w:shd w:val="clear" w:color="auto" w:fill="E3E3E3"/>
          </w:tcPr>
          <w:p>
            <w:pPr>
              <w:spacing w:after="0"/>
              <w:rPr>
                <w:sz w:val="19"/>
                <w:szCs w:val="19"/>
                <w:color w:val="auto"/>
              </w:rPr>
            </w:pPr>
          </w:p>
        </w:tc>
        <w:tc>
          <w:tcPr>
            <w:tcW w:w="160" w:type="dxa"/>
            <w:vAlign w:val="bottom"/>
            <w:tcBorders>
              <w:bottom w:val="single" w:sz="8" w:color="E3E3E3"/>
            </w:tcBorders>
            <w:shd w:val="clear" w:color="auto" w:fill="E3E3E3"/>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2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152% to 155%</w:t>
            </w:r>
          </w:p>
        </w:tc>
        <w:tc>
          <w:tcPr>
            <w:tcW w:w="20" w:type="dxa"/>
            <w:vAlign w:val="bottom"/>
            <w:shd w:val="clear" w:color="auto" w:fill="E3E3E3"/>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r>
      <w:tr>
        <w:trPr>
          <w:trHeight w:val="197"/>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90" w:type="dxa"/>
            <w:vAlign w:val="bottom"/>
            <w:gridSpan w:val="2"/>
          </w:tcPr>
          <w:p>
            <w:pPr>
              <w:jc w:val="right"/>
              <w:ind w:right="20"/>
              <w:spacing w:after="0" w:line="197" w:lineRule="exact"/>
              <w:rPr>
                <w:sz w:val="20"/>
                <w:szCs w:val="20"/>
                <w:color w:val="auto"/>
              </w:rPr>
            </w:pPr>
            <w:r>
              <w:rPr>
                <w:rFonts w:ascii="Times New Roman" w:cs="Times New Roman" w:eastAsia="Times New Roman" w:hAnsi="Times New Roman"/>
                <w:sz w:val="20"/>
                <w:szCs w:val="20"/>
                <w:color w:val="auto"/>
              </w:rPr>
              <w:t>3.78% to</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3.53% to</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3.82%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rates</w:t>
            </w: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2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0"/>
        </w:trPr>
        <w:tc>
          <w:tcPr>
            <w:tcW w:w="59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Expected life of option (in years)</w:t>
            </w:r>
          </w:p>
        </w:tc>
        <w:tc>
          <w:tcPr>
            <w:tcW w:w="100" w:type="dxa"/>
            <w:vAlign w:val="bottom"/>
            <w:shd w:val="clear" w:color="auto" w:fill="E3E3E3"/>
          </w:tcPr>
          <w:p>
            <w:pPr>
              <w:spacing w:after="0"/>
              <w:rPr>
                <w:sz w:val="20"/>
                <w:szCs w:val="20"/>
                <w:color w:val="auto"/>
              </w:rPr>
            </w:pPr>
          </w:p>
        </w:tc>
        <w:tc>
          <w:tcPr>
            <w:tcW w:w="110" w:type="dxa"/>
            <w:vAlign w:val="bottom"/>
            <w:shd w:val="clear" w:color="auto" w:fill="E3E3E3"/>
          </w:tcPr>
          <w:p>
            <w:pPr>
              <w:spacing w:after="0"/>
              <w:rPr>
                <w:sz w:val="20"/>
                <w:szCs w:val="20"/>
                <w:color w:val="auto"/>
              </w:rPr>
            </w:pPr>
          </w:p>
        </w:tc>
        <w:tc>
          <w:tcPr>
            <w:tcW w:w="127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shd w:val="clear" w:color="auto" w:fill="E3E3E3"/>
          </w:tcPr>
          <w:p>
            <w:pPr>
              <w:spacing w:after="0"/>
              <w:rPr>
                <w:sz w:val="20"/>
                <w:szCs w:val="20"/>
                <w:color w:val="auto"/>
              </w:rPr>
            </w:pPr>
          </w:p>
        </w:tc>
        <w:tc>
          <w:tcPr>
            <w:tcW w:w="16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r>
      <w:tr>
        <w:trPr>
          <w:trHeight w:val="24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0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9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zero</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zero</w:t>
            </w:r>
          </w:p>
        </w:tc>
        <w:tc>
          <w:tcPr>
            <w:tcW w:w="180" w:type="dxa"/>
            <w:vAlign w:val="bottom"/>
            <w:tcBorders>
              <w:bottom w:val="single" w:sz="8" w:color="E3E3E3"/>
            </w:tcBorders>
            <w:gridSpan w:val="2"/>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80" w:type="dxa"/>
            <w:vAlign w:val="bottom"/>
            <w:tcBorders>
              <w:bottom w:val="single" w:sz="8" w:color="E3E3E3"/>
            </w:tcBorders>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zero</w:t>
            </w:r>
          </w:p>
        </w:tc>
      </w:tr>
      <w:tr>
        <w:trPr>
          <w:trHeight w:val="215"/>
        </w:trPr>
        <w:tc>
          <w:tcPr>
            <w:tcW w:w="594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Forfeiture rate</w:t>
            </w:r>
          </w:p>
        </w:tc>
        <w:tc>
          <w:tcPr>
            <w:tcW w:w="100" w:type="dxa"/>
            <w:vAlign w:val="bottom"/>
            <w:tcBorders>
              <w:bottom w:val="single" w:sz="8" w:color="E3E3E3"/>
            </w:tcBorders>
            <w:shd w:val="clear" w:color="auto" w:fill="E3E3E3"/>
          </w:tcPr>
          <w:p>
            <w:pPr>
              <w:spacing w:after="0"/>
              <w:rPr>
                <w:sz w:val="18"/>
                <w:szCs w:val="18"/>
                <w:color w:val="auto"/>
              </w:rPr>
            </w:pPr>
          </w:p>
        </w:tc>
        <w:tc>
          <w:tcPr>
            <w:tcW w:w="110" w:type="dxa"/>
            <w:vAlign w:val="bottom"/>
            <w:tcBorders>
              <w:bottom w:val="single" w:sz="8" w:color="E3E3E3"/>
            </w:tcBorders>
            <w:shd w:val="clear" w:color="auto" w:fill="E3E3E3"/>
          </w:tcPr>
          <w:p>
            <w:pPr>
              <w:spacing w:after="0"/>
              <w:rPr>
                <w:sz w:val="18"/>
                <w:szCs w:val="18"/>
                <w:color w:val="auto"/>
              </w:rPr>
            </w:pPr>
          </w:p>
        </w:tc>
        <w:tc>
          <w:tcPr>
            <w:tcW w:w="127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zero</w:t>
            </w:r>
          </w:p>
        </w:tc>
        <w:tc>
          <w:tcPr>
            <w:tcW w:w="20" w:type="dxa"/>
            <w:vAlign w:val="bottom"/>
            <w:tcBorders>
              <w:bottom w:val="single" w:sz="8" w:color="E3E3E3"/>
            </w:tcBorders>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tcPr>
          <w:p>
            <w:pPr>
              <w:spacing w:after="0"/>
              <w:rPr>
                <w:sz w:val="18"/>
                <w:szCs w:val="18"/>
                <w:color w:val="auto"/>
              </w:rPr>
            </w:pPr>
          </w:p>
        </w:tc>
        <w:tc>
          <w:tcPr>
            <w:tcW w:w="1480" w:type="dxa"/>
            <w:vAlign w:val="bottom"/>
            <w:tcBorders>
              <w:bottom w:val="single" w:sz="8" w:color="E3E3E3"/>
            </w:tcBorders>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4.37%</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128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zero</w:t>
            </w:r>
          </w:p>
        </w:tc>
        <w:tc>
          <w:tcPr>
            <w:tcW w:w="20" w:type="dxa"/>
            <w:vAlign w:val="bottom"/>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r>
      <w:tr>
        <w:trPr>
          <w:trHeight w:val="25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fair value of stock options granted</w:t>
            </w:r>
          </w:p>
        </w:tc>
        <w:tc>
          <w:tcPr>
            <w:tcW w:w="21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12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-320040</wp:posOffset>
                </wp:positionV>
                <wp:extent cx="5732780" cy="15240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2780" cy="152400"/>
                        </a:xfrm>
                        <a:prstGeom prst="rect">
                          <a:avLst/>
                        </a:prstGeom>
                        <a:solidFill>
                          <a:srgbClr val="E3E3E3"/>
                        </a:solidFill>
                      </wps:spPr>
                      <wps:bodyPr/>
                    </wps:wsp>
                  </a:graphicData>
                </a:graphic>
              </wp:anchor>
            </w:drawing>
          </mc:Choice>
          <mc:Fallback>
            <w:pict>
              <v:rect id="Shape 109" o:spid="_x0000_s1134" style="position:absolute;margin-left:0.25pt;margin-top:-25.1999pt;width:451.4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4850130</wp:posOffset>
                </wp:positionH>
                <wp:positionV relativeFrom="paragraph">
                  <wp:posOffset>-317500</wp:posOffset>
                </wp:positionV>
                <wp:extent cx="880745" cy="14605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0745" cy="146050"/>
                        </a:xfrm>
                        <a:prstGeom prst="rect">
                          <a:avLst/>
                        </a:prstGeom>
                        <a:solidFill>
                          <a:srgbClr val="E3E3E3"/>
                        </a:solidFill>
                      </wps:spPr>
                      <wps:bodyPr/>
                    </wps:wsp>
                  </a:graphicData>
                </a:graphic>
              </wp:anchor>
            </w:drawing>
          </mc:Choice>
          <mc:Fallback>
            <w:pict>
              <v:rect id="Shape 110" o:spid="_x0000_s1135" style="position:absolute;margin-left:381.9pt;margin-top:-25pt;width:69.3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5735955</wp:posOffset>
                </wp:positionH>
                <wp:positionV relativeFrom="paragraph">
                  <wp:posOffset>-320675</wp:posOffset>
                </wp:positionV>
                <wp:extent cx="1125855" cy="15240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25855" cy="152400"/>
                        </a:xfrm>
                        <a:prstGeom prst="rect">
                          <a:avLst/>
                        </a:prstGeom>
                        <a:solidFill>
                          <a:srgbClr val="E3E3E3"/>
                        </a:solidFill>
                      </wps:spPr>
                      <wps:bodyPr/>
                    </wps:wsp>
                  </a:graphicData>
                </a:graphic>
              </wp:anchor>
            </w:drawing>
          </mc:Choice>
          <mc:Fallback>
            <w:pict>
              <v:rect id="Shape 111" o:spid="_x0000_s1136" style="position:absolute;margin-left:451.65pt;margin-top:-25.2499pt;width:88.65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w:r>
    </w:p>
    <w:p>
      <w:pPr>
        <w:spacing w:after="0" w:line="16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Volatility is based on reviews of the historical volatility of the Company’s common stock. Risk-free interest rates are based on yields of U.S. treasury notes in effect at the date of grant. Expected life of option is based on actual historical option exercises. Dividend yield is zero because the Company does not anticipate paying cash dividends in the foreseeable future.</w:t>
      </w:r>
    </w:p>
    <w:p>
      <w:pPr>
        <w:spacing w:after="0" w:line="178"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20"/>
          <w:szCs w:val="20"/>
          <w:color w:val="auto"/>
        </w:rPr>
        <w:t>As of December 31, 2025, the Company expects to recognize compensation expense of $24.5 million related to non-vested options held by equity plan participants over the weighted average remaining recognition period of 2.4 years.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99 / 117</w:t>
      </w:r>
    </w:p>
    <w:p>
      <w:pPr>
        <w:sectPr>
          <w:pgSz w:w="12240" w:h="15840" w:orient="portrait"/>
          <w:cols w:equalWidth="0" w:num="1">
            <w:col w:w="10800"/>
          </w:cols>
          <w:pgMar w:left="720" w:top="788" w:right="720" w:bottom="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20"/>
          <w:szCs w:val="20"/>
          <w:i w:val="1"/>
          <w:iCs w:val="1"/>
          <w:color w:val="auto"/>
        </w:rPr>
        <w:t>Performance Awards</w:t>
      </w: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summarizes information about performance award activity during 2025:</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19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Number of</w:t>
            </w:r>
          </w:p>
        </w:tc>
      </w:tr>
      <w:tr>
        <w:trPr>
          <w:trHeight w:val="230"/>
        </w:trPr>
        <w:tc>
          <w:tcPr>
            <w:tcW w:w="919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Performance</w:t>
            </w:r>
          </w:p>
        </w:tc>
      </w:tr>
      <w:tr>
        <w:trPr>
          <w:trHeight w:val="260"/>
        </w:trPr>
        <w:tc>
          <w:tcPr>
            <w:tcW w:w="919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Awards</w:t>
            </w:r>
          </w:p>
        </w:tc>
      </w:tr>
      <w:tr>
        <w:trPr>
          <w:trHeight w:val="230"/>
        </w:trPr>
        <w:tc>
          <w:tcPr>
            <w:tcW w:w="9190" w:type="dxa"/>
            <w:vAlign w:val="bottom"/>
            <w:tcBorders>
              <w:top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Outstanding as of December 31, 2024</w:t>
            </w:r>
          </w:p>
        </w:tc>
        <w:tc>
          <w:tcPr>
            <w:tcW w:w="110" w:type="dxa"/>
            <w:vAlign w:val="bottom"/>
            <w:tcBorders>
              <w:top w:val="single" w:sz="8" w:color="E3E3E3"/>
              <w:right w:val="single" w:sz="8" w:color="E3E3E3"/>
            </w:tcBorders>
            <w:shd w:val="clear" w:color="auto" w:fill="E3E3E3"/>
          </w:tcPr>
          <w:p>
            <w:pPr>
              <w:spacing w:after="0"/>
              <w:rPr>
                <w:sz w:val="19"/>
                <w:szCs w:val="19"/>
                <w:color w:val="auto"/>
              </w:rPr>
            </w:pPr>
          </w:p>
        </w:tc>
        <w:tc>
          <w:tcPr>
            <w:tcW w:w="14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7,142</w:t>
            </w:r>
          </w:p>
        </w:tc>
        <w:tc>
          <w:tcPr>
            <w:tcW w:w="100" w:type="dxa"/>
            <w:vAlign w:val="bottom"/>
            <w:tcBorders>
              <w:top w:val="single" w:sz="8" w:color="E3E3E3"/>
            </w:tcBorders>
            <w:shd w:val="clear" w:color="auto" w:fill="E3E3E3"/>
          </w:tcPr>
          <w:p>
            <w:pPr>
              <w:spacing w:after="0"/>
              <w:rPr>
                <w:sz w:val="19"/>
                <w:szCs w:val="19"/>
                <w:color w:val="auto"/>
              </w:rPr>
            </w:pPr>
          </w:p>
        </w:tc>
      </w:tr>
      <w:tr>
        <w:trPr>
          <w:trHeight w:val="240"/>
        </w:trPr>
        <w:tc>
          <w:tcPr>
            <w:tcW w:w="919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11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919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110" w:type="dxa"/>
            <w:vAlign w:val="bottom"/>
            <w:tcBorders>
              <w:right w:val="single" w:sz="8" w:color="E3E3E3"/>
            </w:tcBorders>
            <w:shd w:val="clear" w:color="auto" w:fill="E3E3E3"/>
          </w:tcPr>
          <w:p>
            <w:pPr>
              <w:spacing w:after="0"/>
              <w:rPr>
                <w:sz w:val="20"/>
                <w:szCs w:val="20"/>
                <w:color w:val="auto"/>
              </w:rPr>
            </w:pPr>
          </w:p>
        </w:tc>
        <w:tc>
          <w:tcPr>
            <w:tcW w:w="14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r>
      <w:tr>
        <w:trPr>
          <w:trHeight w:val="242"/>
        </w:trPr>
        <w:tc>
          <w:tcPr>
            <w:tcW w:w="919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Forfeited/canceled</w:t>
            </w:r>
          </w:p>
        </w:tc>
        <w:tc>
          <w:tcPr>
            <w:tcW w:w="110" w:type="dxa"/>
            <w:vAlign w:val="bottom"/>
          </w:tcPr>
          <w:p>
            <w:pPr>
              <w:spacing w:after="0"/>
              <w:rPr>
                <w:sz w:val="21"/>
                <w:szCs w:val="21"/>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74"/>
        </w:trPr>
        <w:tc>
          <w:tcPr>
            <w:tcW w:w="9190" w:type="dxa"/>
            <w:vAlign w:val="bottom"/>
            <w:tcBorders>
              <w:top w:val="single" w:sz="8" w:color="E3E3E3"/>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Outstanding as of December 31, 2025</w:t>
            </w:r>
          </w:p>
        </w:tc>
        <w:tc>
          <w:tcPr>
            <w:tcW w:w="11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1400" w:type="dxa"/>
            <w:vAlign w:val="bottom"/>
            <w:tcBorders>
              <w:top w:val="single" w:sz="8" w:color="auto"/>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7,142</w:t>
            </w: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r>
      <w:tr>
        <w:trPr>
          <w:trHeight w:val="20"/>
        </w:trPr>
        <w:tc>
          <w:tcPr>
            <w:tcW w:w="919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r>
    </w:tbl>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If and when outstanding Performance Awards vest, the Company would recognize $101,000 in stock-based compensation expense.</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These performance awards expire in 2026.</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summarizes information about stock-based compensation expense,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95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5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1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7,159</w:t>
            </w:r>
          </w:p>
        </w:tc>
        <w:tc>
          <w:tcPr>
            <w:tcW w:w="220" w:type="dxa"/>
            <w:vAlign w:val="bottom"/>
            <w:tcBorders>
              <w:right w:val="single" w:sz="8" w:color="E3E3E3"/>
            </w:tcBorders>
            <w:shd w:val="clear" w:color="auto" w:fill="E3E3E3"/>
          </w:tcPr>
          <w:p>
            <w:pPr>
              <w:spacing w:after="0"/>
              <w:rPr>
                <w:sz w:val="20"/>
                <w:szCs w:val="20"/>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6,492</w:t>
            </w:r>
          </w:p>
        </w:tc>
        <w:tc>
          <w:tcPr>
            <w:tcW w:w="20" w:type="dxa"/>
            <w:vAlign w:val="bottom"/>
            <w:vMerge w:val="continue"/>
          </w:tcPr>
          <w:p>
            <w:pPr>
              <w:spacing w:after="0"/>
              <w:rPr>
                <w:sz w:val="20"/>
                <w:szCs w:val="20"/>
                <w:color w:val="auto"/>
              </w:rPr>
            </w:pPr>
          </w:p>
        </w:tc>
        <w:tc>
          <w:tcPr>
            <w:tcW w:w="200" w:type="dxa"/>
            <w:vAlign w:val="bottom"/>
            <w:tcBorders>
              <w:right w:val="single" w:sz="8" w:color="E3E3E3"/>
            </w:tcBorders>
            <w:shd w:val="clear" w:color="auto" w:fill="E3E3E3"/>
          </w:tcPr>
          <w:p>
            <w:pPr>
              <w:spacing w:after="0"/>
              <w:rPr>
                <w:sz w:val="20"/>
                <w:szCs w:val="20"/>
                <w:color w:val="auto"/>
              </w:rPr>
            </w:pPr>
          </w:p>
        </w:tc>
        <w:tc>
          <w:tcPr>
            <w:tcW w:w="360" w:type="dxa"/>
            <w:vAlign w:val="bottom"/>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95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1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12,423</w:t>
            </w:r>
          </w:p>
        </w:tc>
        <w:tc>
          <w:tcPr>
            <w:tcW w:w="220" w:type="dxa"/>
            <w:vAlign w:val="bottom"/>
            <w:tcBorders>
              <w:bottom w:val="single" w:sz="8" w:color="E3E3E3"/>
              <w:right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9,799</w:t>
            </w:r>
          </w:p>
        </w:tc>
        <w:tc>
          <w:tcPr>
            <w:tcW w:w="20" w:type="dxa"/>
            <w:vAlign w:val="bottom"/>
            <w:tcBorders>
              <w:bottom w:val="single" w:sz="8" w:color="E3E3E3"/>
            </w:tcBorders>
          </w:tcPr>
          <w:p>
            <w:pPr>
              <w:spacing w:after="0"/>
              <w:rPr>
                <w:sz w:val="20"/>
                <w:szCs w:val="20"/>
                <w:color w:val="auto"/>
              </w:rPr>
            </w:pPr>
          </w:p>
        </w:tc>
        <w:tc>
          <w:tcPr>
            <w:tcW w:w="200" w:type="dxa"/>
            <w:vAlign w:val="bottom"/>
            <w:tcBorders>
              <w:bottom w:val="single" w:sz="8" w:color="E3E3E3"/>
              <w:right w:val="single" w:sz="8" w:color="E3E3E3"/>
            </w:tcBorders>
            <w:shd w:val="clear" w:color="auto" w:fill="E3E3E3"/>
          </w:tcPr>
          <w:p>
            <w:pPr>
              <w:spacing w:after="0"/>
              <w:rPr>
                <w:sz w:val="20"/>
                <w:szCs w:val="20"/>
                <w:color w:val="auto"/>
              </w:rPr>
            </w:pPr>
          </w:p>
        </w:tc>
        <w:tc>
          <w:tcPr>
            <w:tcW w:w="360" w:type="dxa"/>
            <w:vAlign w:val="bottom"/>
            <w:tcBorders>
              <w:bottom w:val="single" w:sz="8" w:color="E3E3E3"/>
            </w:tcBorders>
            <w:shd w:val="clear" w:color="auto" w:fill="E3E3E3"/>
          </w:tcPr>
          <w:p>
            <w:pPr>
              <w:spacing w:after="0"/>
              <w:rPr>
                <w:sz w:val="20"/>
                <w:szCs w:val="20"/>
                <w:color w:val="auto"/>
              </w:rPr>
            </w:pPr>
          </w:p>
        </w:tc>
        <w:tc>
          <w:tcPr>
            <w:tcW w:w="104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2,536</w:t>
            </w:r>
          </w:p>
        </w:tc>
        <w:tc>
          <w:tcPr>
            <w:tcW w:w="10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060" w:type="dxa"/>
            <w:vAlign w:val="bottom"/>
            <w:tcBorders>
              <w:bottom w:val="single" w:sz="8" w:color="E3E3E3"/>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20" w:type="dxa"/>
            <w:vAlign w:val="bottom"/>
            <w:tcBorders>
              <w:bottom w:val="single" w:sz="8" w:color="E3E3E3"/>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tcBorders>
              <w:bottom w:val="single" w:sz="8" w:color="E3E3E3"/>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950" w:type="dxa"/>
            <w:vAlign w:val="bottom"/>
            <w:tcBorders>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Total stock-based compensation expense</w:t>
            </w:r>
          </w:p>
        </w:tc>
        <w:tc>
          <w:tcPr>
            <w:tcW w:w="11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19,582</w:t>
            </w:r>
          </w:p>
        </w:tc>
        <w:tc>
          <w:tcPr>
            <w:tcW w:w="220" w:type="dxa"/>
            <w:vAlign w:val="bottom"/>
            <w:tcBorders>
              <w:bottom w:val="single" w:sz="8" w:color="E3E3E3"/>
              <w:right w:val="single" w:sz="8" w:color="E3E3E3"/>
            </w:tcBorders>
            <w:shd w:val="clear" w:color="auto" w:fill="E3E3E3"/>
          </w:tcPr>
          <w:p>
            <w:pPr>
              <w:spacing w:after="0"/>
              <w:rPr>
                <w:sz w:val="22"/>
                <w:szCs w:val="22"/>
                <w:color w:val="auto"/>
              </w:rPr>
            </w:pPr>
          </w:p>
        </w:tc>
        <w:tc>
          <w:tcPr>
            <w:tcW w:w="1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16,291</w:t>
            </w:r>
          </w:p>
        </w:tc>
        <w:tc>
          <w:tcPr>
            <w:tcW w:w="20" w:type="dxa"/>
            <w:vAlign w:val="bottom"/>
            <w:tcBorders>
              <w:bottom w:val="single" w:sz="8" w:color="E3E3E3"/>
            </w:tcBorders>
            <w:vMerge w:val="continue"/>
          </w:tcPr>
          <w:p>
            <w:pPr>
              <w:spacing w:after="0"/>
              <w:rPr>
                <w:sz w:val="22"/>
                <w:szCs w:val="22"/>
                <w:color w:val="auto"/>
              </w:rPr>
            </w:pPr>
          </w:p>
        </w:tc>
        <w:tc>
          <w:tcPr>
            <w:tcW w:w="200" w:type="dxa"/>
            <w:vAlign w:val="bottom"/>
            <w:tcBorders>
              <w:bottom w:val="single" w:sz="8" w:color="E3E3E3"/>
              <w:right w:val="single" w:sz="8" w:color="E3E3E3"/>
            </w:tcBorders>
            <w:shd w:val="clear" w:color="auto" w:fill="E3E3E3"/>
          </w:tcPr>
          <w:p>
            <w:pPr>
              <w:spacing w:after="0"/>
              <w:rPr>
                <w:sz w:val="22"/>
                <w:szCs w:val="22"/>
                <w:color w:val="auto"/>
              </w:rPr>
            </w:pPr>
          </w:p>
        </w:tc>
        <w:tc>
          <w:tcPr>
            <w:tcW w:w="360" w:type="dxa"/>
            <w:vAlign w:val="bottom"/>
            <w:tcBorders>
              <w:bottom w:val="single" w:sz="8" w:color="E3E3E3"/>
            </w:tcBorders>
            <w:shd w:val="clear" w:color="auto" w:fill="E3E3E3"/>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4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4,586</w:t>
            </w:r>
          </w:p>
        </w:tc>
        <w:tc>
          <w:tcPr>
            <w:tcW w:w="100" w:type="dxa"/>
            <w:vAlign w:val="bottom"/>
            <w:tcBorders>
              <w:bottom w:val="single" w:sz="8" w:color="E3E3E3"/>
            </w:tcBorders>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50" w:type="dxa"/>
            <w:vAlign w:val="bottom"/>
            <w:tcBorders>
              <w:top w:val="single" w:sz="8" w:color="E3E3E3"/>
            </w:tcBorders>
          </w:tcPr>
          <w:p>
            <w:pPr>
              <w:spacing w:after="0" w:line="20" w:lineRule="exact"/>
              <w:rPr>
                <w:sz w:val="1"/>
                <w:szCs w:val="1"/>
                <w:color w:val="auto"/>
              </w:rPr>
            </w:pPr>
          </w:p>
        </w:tc>
        <w:tc>
          <w:tcPr>
            <w:tcW w:w="11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20" w:type="dxa"/>
            <w:vAlign w:val="bottom"/>
            <w:tcBorders>
              <w:top w:val="single" w:sz="8" w:color="E3E3E3"/>
              <w:right w:val="single" w:sz="8" w:color="auto"/>
            </w:tcBorders>
          </w:tcPr>
          <w:p>
            <w:pPr>
              <w:spacing w:after="0" w:line="20" w:lineRule="exact"/>
              <w:rPr>
                <w:sz w:val="1"/>
                <w:szCs w:val="1"/>
                <w:color w:val="auto"/>
              </w:rPr>
            </w:pPr>
          </w:p>
        </w:tc>
        <w:tc>
          <w:tcPr>
            <w:tcW w:w="100" w:type="dxa"/>
            <w:vAlign w:val="bottom"/>
            <w:tcBorders>
              <w:top w:val="single" w:sz="8" w:color="E3E3E3"/>
            </w:tcBorders>
            <w:shd w:val="clear" w:color="auto" w:fill="000000"/>
          </w:tcPr>
          <w:p>
            <w:pPr>
              <w:spacing w:after="0" w:line="20" w:lineRule="exact"/>
              <w:rPr>
                <w:sz w:val="1"/>
                <w:szCs w:val="1"/>
                <w:color w:val="auto"/>
              </w:rPr>
            </w:pPr>
          </w:p>
        </w:tc>
        <w:tc>
          <w:tcPr>
            <w:tcW w:w="1300" w:type="dxa"/>
            <w:vAlign w:val="bottom"/>
            <w:tcBorders>
              <w:top w:val="single" w:sz="8" w:color="E3E3E3"/>
            </w:tcBorders>
            <w:shd w:val="clear" w:color="auto" w:fill="000000"/>
          </w:tcPr>
          <w:p>
            <w:pPr>
              <w:spacing w:after="0" w:line="20" w:lineRule="exact"/>
              <w:rPr>
                <w:sz w:val="1"/>
                <w:szCs w:val="1"/>
                <w:color w:val="auto"/>
              </w:rPr>
            </w:pPr>
          </w:p>
        </w:tc>
        <w:tc>
          <w:tcPr>
            <w:tcW w:w="20" w:type="dxa"/>
            <w:vAlign w:val="bottom"/>
            <w:tcBorders>
              <w:top w:val="single" w:sz="8" w:color="E3E3E3"/>
            </w:tcBorders>
          </w:tcPr>
          <w:p>
            <w:pPr>
              <w:spacing w:after="0" w:line="20" w:lineRule="exact"/>
              <w:rPr>
                <w:sz w:val="1"/>
                <w:szCs w:val="1"/>
                <w:color w:val="auto"/>
              </w:rPr>
            </w:pPr>
          </w:p>
        </w:tc>
        <w:tc>
          <w:tcPr>
            <w:tcW w:w="200" w:type="dxa"/>
            <w:vAlign w:val="bottom"/>
            <w:tcBorders>
              <w:top w:val="single" w:sz="8" w:color="E3E3E3"/>
              <w:right w:val="single" w:sz="8" w:color="auto"/>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3E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September 13, 2024, the Company entered into a Consulting Agreement with our former President and Chief Executive Officer for a period of one year, which was subsequently terminated on January 23, 2025. The services to be provided under the Consulting Agreement were not deemed substantive for continuous service requirements of stock option vesting, resulting in a stock option modification under ASC 718. The Company's stock-based compensation expense for the year ended December 31, 2024 included approximately $0.6 million from the stock option modification accounting. See further discussion in Note 2 under “Related Party Transactions”. There were no such costs during the years ended December 31, 2025 and 2023.</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8. Employee 401(k) Benefit Plan</w:t>
      </w:r>
    </w:p>
    <w:p>
      <w:pPr>
        <w:spacing w:after="0" w:line="235"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The Company has a defined-contribution savings plan under Section 401(k) of the Internal Revenue Code. The plan covers substantially all employees. Employees are eligible to participate in the plan the first day of the month after hire and may contribute up to the current statutory limits under Internal Revenue Service regulations. The 401(k) plan permits the Company to make additional matching contributions on behalf of all employees. Through December 31, 2025, the Company had not made any matching contributions to the 401(k) plan. Beginning January 1, 2026, the Company will match each employee’s 401(k) plan contributions dollar-for-dollar (100%) up to a maximum of $6,000 per annum.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100 / 117</w:t>
      </w:r>
    </w:p>
    <w:p>
      <w:pPr>
        <w:sectPr>
          <w:pgSz w:w="12240" w:h="15840" w:orient="portrait"/>
          <w:cols w:equalWidth="0" w:num="1">
            <w:col w:w="10820"/>
          </w:cols>
          <w:pgMar w:left="700" w:top="790" w:right="720" w:bottom="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232" w:lineRule="exact"/>
        <w:rPr>
          <w:sz w:val="20"/>
          <w:szCs w:val="20"/>
          <w:color w:val="auto"/>
        </w:rPr>
      </w:pPr>
    </w:p>
    <w:p>
      <w:pPr>
        <w:jc w:val="both"/>
        <w:ind w:firstLine="360"/>
        <w:spacing w:after="0" w:line="305" w:lineRule="auto"/>
        <w:rPr>
          <w:sz w:val="20"/>
          <w:szCs w:val="20"/>
          <w:color w:val="auto"/>
        </w:rPr>
      </w:pPr>
      <w:r>
        <w:rPr>
          <w:rFonts w:ascii="Times New Roman" w:cs="Times New Roman" w:eastAsia="Times New Roman" w:hAnsi="Times New Roman"/>
          <w:sz w:val="19"/>
          <w:szCs w:val="19"/>
          <w:color w:val="auto"/>
        </w:rPr>
        <w:t>The Company did not provide for income taxes during the periods presented because it had book and federal taxable losses in those years and the tax benefit that would have resulted from the pre-tax losses was fully offset by a change in the valuation allowance.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The reconciliation of the statutory federal income tax rate to the Company’s effective tax rate for periods presented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0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gridSpan w:val="2"/>
          </w:tcPr>
          <w:p>
            <w:pPr>
              <w:spacing w:after="0"/>
              <w:rPr>
                <w:sz w:val="20"/>
                <w:szCs w:val="20"/>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E3E3E3"/>
            </w:tcBorders>
          </w:tcPr>
          <w:p>
            <w:pPr>
              <w:spacing w:after="0"/>
              <w:rPr>
                <w:sz w:val="20"/>
                <w:szCs w:val="20"/>
                <w:color w:val="auto"/>
              </w:rPr>
            </w:pPr>
          </w:p>
        </w:tc>
        <w:tc>
          <w:tcPr>
            <w:tcW w:w="240" w:type="dxa"/>
            <w:vAlign w:val="bottom"/>
            <w:tcBorders>
              <w:bottom w:val="single" w:sz="8" w:color="E3E3E3"/>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Borders>
              <w:bottom w:val="single" w:sz="8" w:color="E3E3E3"/>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600" w:type="dxa"/>
            <w:vAlign w:val="bottom"/>
            <w:tcBorders>
              <w:bottom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U.S. federal statutory tax rate</w:t>
            </w: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960" w:type="dxa"/>
            <w:vAlign w:val="bottom"/>
            <w:tcBorders>
              <w:bottom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(19,104)</w:t>
            </w:r>
          </w:p>
        </w:tc>
        <w:tc>
          <w:tcPr>
            <w:tcW w:w="18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100" w:type="dxa"/>
            <w:vAlign w:val="bottom"/>
            <w:tcBorders>
              <w:bottom w:val="single" w:sz="8" w:color="E3E3E3"/>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21%</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shd w:val="clear" w:color="auto" w:fill="E3E3E3"/>
          </w:tcPr>
          <w:p>
            <w:pPr>
              <w:spacing w:after="0"/>
              <w:rPr>
                <w:sz w:val="19"/>
                <w:szCs w:val="19"/>
                <w:color w:val="auto"/>
              </w:rPr>
            </w:pPr>
          </w:p>
        </w:tc>
        <w:tc>
          <w:tcPr>
            <w:tcW w:w="100" w:type="dxa"/>
            <w:vAlign w:val="bottom"/>
            <w:tcBorders>
              <w:bottom w:val="single" w:sz="8" w:color="E3E3E3"/>
            </w:tcBorders>
            <w:shd w:val="clear" w:color="auto" w:fill="E3E3E3"/>
          </w:tcPr>
          <w:p>
            <w:pPr>
              <w:spacing w:after="0"/>
              <w:rPr>
                <w:sz w:val="19"/>
                <w:szCs w:val="19"/>
                <w:color w:val="auto"/>
              </w:rPr>
            </w:pPr>
          </w:p>
        </w:tc>
        <w:tc>
          <w:tcPr>
            <w:tcW w:w="1220" w:type="dxa"/>
            <w:vAlign w:val="bottom"/>
            <w:tcBorders>
              <w:bottom w:val="single" w:sz="8" w:color="E3E3E3"/>
              <w:right w:val="single" w:sz="8" w:color="E3E3E3"/>
            </w:tcBorders>
            <w:gridSpan w:val="3"/>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21%</w:t>
            </w:r>
          </w:p>
        </w:tc>
        <w:tc>
          <w:tcPr>
            <w:tcW w:w="80" w:type="dxa"/>
            <w:vAlign w:val="bottom"/>
            <w:tcBorders>
              <w:bottom w:val="single" w:sz="8" w:color="E3E3E3"/>
            </w:tcBorders>
            <w:shd w:val="clear" w:color="auto" w:fill="E3E3E3"/>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120" w:type="dxa"/>
            <w:vAlign w:val="bottom"/>
            <w:tcBorders>
              <w:bottom w:val="single" w:sz="8" w:color="E3E3E3"/>
            </w:tcBorders>
            <w:gridSpan w:val="2"/>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rPr>
              <w:t>21%</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E3E3E3"/>
            </w:tcBorders>
            <w:gridSpan w:val="3"/>
          </w:tcPr>
          <w:p>
            <w:pPr>
              <w:spacing w:after="0" w:line="225" w:lineRule="exact"/>
              <w:rPr>
                <w:sz w:val="20"/>
                <w:szCs w:val="20"/>
                <w:color w:val="auto"/>
              </w:rPr>
            </w:pPr>
            <w:r>
              <w:rPr>
                <w:rFonts w:ascii="Times New Roman" w:cs="Times New Roman" w:eastAsia="Times New Roman" w:hAnsi="Times New Roman"/>
                <w:sz w:val="20"/>
                <w:szCs w:val="20"/>
                <w:color w:val="auto"/>
              </w:rPr>
              <w:t>Nontaxable or nondeductible items</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1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940" w:type="dxa"/>
            <w:vAlign w:val="bottom"/>
            <w:tcBorders>
              <w:bottom w:val="single" w:sz="8" w:color="E3E3E3"/>
            </w:tcBorders>
          </w:tcPr>
          <w:p>
            <w:pPr>
              <w:spacing w:after="0"/>
              <w:rPr>
                <w:sz w:val="19"/>
                <w:szCs w:val="19"/>
                <w:color w:val="auto"/>
              </w:rPr>
            </w:pPr>
          </w:p>
        </w:tc>
        <w:tc>
          <w:tcPr>
            <w:tcW w:w="16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24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940" w:type="dxa"/>
            <w:vAlign w:val="bottom"/>
            <w:tcBorders>
              <w:bottom w:val="single" w:sz="8" w:color="E3E3E3"/>
            </w:tcBorders>
          </w:tcPr>
          <w:p>
            <w:pPr>
              <w:spacing w:after="0"/>
              <w:rPr>
                <w:sz w:val="19"/>
                <w:szCs w:val="19"/>
                <w:color w:val="auto"/>
              </w:rPr>
            </w:pPr>
          </w:p>
        </w:tc>
        <w:tc>
          <w:tcPr>
            <w:tcW w:w="18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00" w:type="dxa"/>
            <w:vAlign w:val="bottom"/>
            <w:tcBorders>
              <w:bottom w:val="single" w:sz="8" w:color="E3E3E3"/>
            </w:tcBorders>
            <w:shd w:val="clear" w:color="auto" w:fill="E3E3E3"/>
          </w:tcPr>
          <w:p>
            <w:pPr>
              <w:ind w:left="180"/>
              <w:spacing w:after="0" w:line="215" w:lineRule="exact"/>
              <w:rPr>
                <w:sz w:val="20"/>
                <w:szCs w:val="20"/>
                <w:color w:val="auto"/>
              </w:rPr>
            </w:pPr>
            <w:r>
              <w:rPr>
                <w:rFonts w:ascii="Times New Roman" w:cs="Times New Roman" w:eastAsia="Times New Roman" w:hAnsi="Times New Roman"/>
                <w:sz w:val="20"/>
                <w:szCs w:val="20"/>
                <w:color w:val="auto"/>
              </w:rPr>
              <w:t>Stock compensation</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3,580</w:t>
            </w:r>
          </w:p>
        </w:tc>
        <w:tc>
          <w:tcPr>
            <w:tcW w:w="1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(4.0)</w:t>
            </w:r>
          </w:p>
        </w:tc>
        <w:tc>
          <w:tcPr>
            <w:tcW w:w="16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(5.7)</w:t>
            </w:r>
          </w:p>
        </w:tc>
        <w:tc>
          <w:tcPr>
            <w:tcW w:w="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right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0.2</w:t>
            </w:r>
          </w:p>
        </w:tc>
        <w:tc>
          <w:tcPr>
            <w:tcW w:w="1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E3E3E3"/>
            </w:tcBorders>
            <w:gridSpan w:val="3"/>
          </w:tcPr>
          <w:p>
            <w:pPr>
              <w:ind w:left="180"/>
              <w:spacing w:after="0" w:line="225" w:lineRule="exact"/>
              <w:rPr>
                <w:sz w:val="20"/>
                <w:szCs w:val="20"/>
                <w:color w:val="auto"/>
              </w:rPr>
            </w:pPr>
            <w:r>
              <w:rPr>
                <w:rFonts w:ascii="Times New Roman" w:cs="Times New Roman" w:eastAsia="Times New Roman" w:hAnsi="Times New Roman"/>
                <w:sz w:val="20"/>
                <w:szCs w:val="20"/>
                <w:color w:val="auto"/>
              </w:rPr>
              <w:t>Section 162(m) limitation</w:t>
            </w:r>
          </w:p>
        </w:tc>
        <w:tc>
          <w:tcPr>
            <w:tcW w:w="100" w:type="dxa"/>
            <w:vAlign w:val="bottom"/>
            <w:tcBorders>
              <w:bottom w:val="single" w:sz="8" w:color="E3E3E3"/>
            </w:tcBorders>
          </w:tcPr>
          <w:p>
            <w:pPr>
              <w:spacing w:after="0"/>
              <w:rPr>
                <w:sz w:val="19"/>
                <w:szCs w:val="19"/>
                <w:color w:val="auto"/>
              </w:rPr>
            </w:pPr>
          </w:p>
        </w:tc>
        <w:tc>
          <w:tcPr>
            <w:tcW w:w="1240" w:type="dxa"/>
            <w:vAlign w:val="bottom"/>
            <w:tcBorders>
              <w:bottom w:val="single" w:sz="8" w:color="E3E3E3"/>
            </w:tcBorders>
            <w:gridSpan w:val="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1100" w:type="dxa"/>
            <w:vAlign w:val="bottom"/>
            <w:tcBorders>
              <w:bottom w:val="single" w:sz="8" w:color="E3E3E3"/>
            </w:tcBorders>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E3E3E3"/>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(0.2)</w:t>
            </w:r>
          </w:p>
        </w:tc>
        <w:tc>
          <w:tcPr>
            <w:tcW w:w="260" w:type="dxa"/>
            <w:vAlign w:val="bottom"/>
            <w:tcBorders>
              <w:bottom w:val="single" w:sz="8" w:color="E3E3E3"/>
            </w:tcBorders>
            <w:gridSpan w:val="2"/>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120" w:type="dxa"/>
            <w:vAlign w:val="bottom"/>
            <w:tcBorders>
              <w:bottom w:val="single" w:sz="8" w:color="E3E3E3"/>
            </w:tcBorders>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5600" w:type="dxa"/>
            <w:vAlign w:val="bottom"/>
            <w:tcBorders>
              <w:bottom w:val="single" w:sz="8" w:color="E3E3E3"/>
            </w:tcBorders>
            <w:shd w:val="clear" w:color="auto" w:fill="E3E3E3"/>
          </w:tcPr>
          <w:p>
            <w:pPr>
              <w:ind w:left="180"/>
              <w:spacing w:after="0" w:line="215" w:lineRule="exact"/>
              <w:rPr>
                <w:sz w:val="20"/>
                <w:szCs w:val="20"/>
                <w:color w:val="auto"/>
              </w:rPr>
            </w:pPr>
            <w:r>
              <w:rPr>
                <w:rFonts w:ascii="Times New Roman" w:cs="Times New Roman" w:eastAsia="Times New Roman" w:hAnsi="Times New Roman"/>
                <w:sz w:val="20"/>
                <w:szCs w:val="20"/>
                <w:color w:val="auto"/>
              </w:rPr>
              <w:t>Change in fair value of warrant liabilities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93.3</w:t>
            </w:r>
          </w:p>
        </w:tc>
        <w:tc>
          <w:tcPr>
            <w:tcW w:w="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right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E3E3E3"/>
            </w:tcBorders>
            <w:gridSpan w:val="3"/>
          </w:tcPr>
          <w:p>
            <w:pPr>
              <w:ind w:left="180"/>
              <w:spacing w:after="0" w:line="225" w:lineRule="exact"/>
              <w:rPr>
                <w:sz w:val="20"/>
                <w:szCs w:val="20"/>
                <w:color w:val="auto"/>
              </w:rPr>
            </w:pPr>
            <w:r>
              <w:rPr>
                <w:rFonts w:ascii="Times New Roman" w:cs="Times New Roman" w:eastAsia="Times New Roman" w:hAnsi="Times New Roman"/>
                <w:sz w:val="20"/>
                <w:szCs w:val="20"/>
                <w:color w:val="auto"/>
              </w:rPr>
              <w:t>SEC settlement payment</w:t>
            </w:r>
          </w:p>
        </w:tc>
        <w:tc>
          <w:tcPr>
            <w:tcW w:w="100" w:type="dxa"/>
            <w:vAlign w:val="bottom"/>
            <w:tcBorders>
              <w:bottom w:val="single" w:sz="8" w:color="E3E3E3"/>
            </w:tcBorders>
          </w:tcPr>
          <w:p>
            <w:pPr>
              <w:spacing w:after="0"/>
              <w:rPr>
                <w:sz w:val="19"/>
                <w:szCs w:val="19"/>
                <w:color w:val="auto"/>
              </w:rPr>
            </w:pPr>
          </w:p>
        </w:tc>
        <w:tc>
          <w:tcPr>
            <w:tcW w:w="1240" w:type="dxa"/>
            <w:vAlign w:val="bottom"/>
            <w:tcBorders>
              <w:bottom w:val="single" w:sz="8" w:color="E3E3E3"/>
            </w:tcBorders>
            <w:gridSpan w:val="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1100" w:type="dxa"/>
            <w:vAlign w:val="bottom"/>
            <w:tcBorders>
              <w:bottom w:val="single" w:sz="8" w:color="E3E3E3"/>
            </w:tcBorders>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E3E3E3"/>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(34.5)</w:t>
            </w:r>
          </w:p>
        </w:tc>
        <w:tc>
          <w:tcPr>
            <w:tcW w:w="260" w:type="dxa"/>
            <w:vAlign w:val="bottom"/>
            <w:tcBorders>
              <w:bottom w:val="single" w:sz="8" w:color="E3E3E3"/>
            </w:tcBorders>
            <w:gridSpan w:val="2"/>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120" w:type="dxa"/>
            <w:vAlign w:val="bottom"/>
            <w:tcBorders>
              <w:bottom w:val="single" w:sz="8" w:color="E3E3E3"/>
            </w:tcBorders>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560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Change in valuation allowance</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15,207</w:t>
            </w:r>
          </w:p>
        </w:tc>
        <w:tc>
          <w:tcPr>
            <w:tcW w:w="1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(16.7)</w:t>
            </w:r>
          </w:p>
        </w:tc>
        <w:tc>
          <w:tcPr>
            <w:tcW w:w="16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(79.4)</w:t>
            </w:r>
          </w:p>
        </w:tc>
        <w:tc>
          <w:tcPr>
            <w:tcW w:w="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right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(24.0)</w:t>
            </w:r>
          </w:p>
        </w:tc>
        <w:tc>
          <w:tcPr>
            <w:tcW w:w="1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E3E3E3"/>
            </w:tcBorders>
            <w:gridSpan w:val="3"/>
          </w:tcPr>
          <w:p>
            <w:pPr>
              <w:spacing w:after="0" w:line="225" w:lineRule="exact"/>
              <w:rPr>
                <w:sz w:val="20"/>
                <w:szCs w:val="20"/>
                <w:color w:val="auto"/>
              </w:rPr>
            </w:pPr>
            <w:r>
              <w:rPr>
                <w:rFonts w:ascii="Times New Roman" w:cs="Times New Roman" w:eastAsia="Times New Roman" w:hAnsi="Times New Roman"/>
                <w:sz w:val="20"/>
                <w:szCs w:val="20"/>
                <w:color w:val="auto"/>
              </w:rPr>
              <w:t>Tax Credits</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1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940" w:type="dxa"/>
            <w:vAlign w:val="bottom"/>
            <w:tcBorders>
              <w:bottom w:val="single" w:sz="8" w:color="E3E3E3"/>
            </w:tcBorders>
          </w:tcPr>
          <w:p>
            <w:pPr>
              <w:spacing w:after="0"/>
              <w:rPr>
                <w:sz w:val="19"/>
                <w:szCs w:val="19"/>
                <w:color w:val="auto"/>
              </w:rPr>
            </w:pPr>
          </w:p>
        </w:tc>
        <w:tc>
          <w:tcPr>
            <w:tcW w:w="16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24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940" w:type="dxa"/>
            <w:vAlign w:val="bottom"/>
            <w:tcBorders>
              <w:bottom w:val="single" w:sz="8" w:color="E3E3E3"/>
            </w:tcBorders>
          </w:tcPr>
          <w:p>
            <w:pPr>
              <w:spacing w:after="0"/>
              <w:rPr>
                <w:sz w:val="19"/>
                <w:szCs w:val="19"/>
                <w:color w:val="auto"/>
              </w:rPr>
            </w:pPr>
          </w:p>
        </w:tc>
        <w:tc>
          <w:tcPr>
            <w:tcW w:w="180" w:type="dxa"/>
            <w:vAlign w:val="bottom"/>
            <w:tcBorders>
              <w:bottom w:val="single" w:sz="8" w:color="E3E3E3"/>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E3E3E3"/>
            </w:tcBorders>
            <w:shd w:val="clear" w:color="auto" w:fill="E3E3E3"/>
          </w:tcPr>
          <w:p>
            <w:pPr>
              <w:ind w:left="180"/>
              <w:spacing w:after="0" w:line="216" w:lineRule="exact"/>
              <w:rPr>
                <w:sz w:val="20"/>
                <w:szCs w:val="20"/>
                <w:color w:val="auto"/>
              </w:rPr>
            </w:pPr>
            <w:r>
              <w:rPr>
                <w:rFonts w:ascii="Times New Roman" w:cs="Times New Roman" w:eastAsia="Times New Roman" w:hAnsi="Times New Roman"/>
                <w:sz w:val="20"/>
                <w:szCs w:val="20"/>
                <w:color w:val="auto"/>
              </w:rPr>
              <w:t>Research and development credits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(1,021)</w:t>
            </w:r>
          </w:p>
        </w:tc>
        <w:tc>
          <w:tcPr>
            <w:tcW w:w="1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1.1</w:t>
            </w:r>
          </w:p>
        </w:tc>
        <w:tc>
          <w:tcPr>
            <w:tcW w:w="16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15.4</w:t>
            </w:r>
          </w:p>
        </w:tc>
        <w:tc>
          <w:tcPr>
            <w:tcW w:w="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right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6" w:lineRule="exact"/>
              <w:rPr>
                <w:sz w:val="20"/>
                <w:szCs w:val="20"/>
                <w:color w:val="auto"/>
              </w:rPr>
            </w:pPr>
            <w:r>
              <w:rPr>
                <w:rFonts w:ascii="Times New Roman" w:cs="Times New Roman" w:eastAsia="Times New Roman" w:hAnsi="Times New Roman"/>
                <w:sz w:val="20"/>
                <w:szCs w:val="20"/>
                <w:color w:val="auto"/>
              </w:rPr>
              <w:t>5.1</w:t>
            </w:r>
          </w:p>
        </w:tc>
        <w:tc>
          <w:tcPr>
            <w:tcW w:w="1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E3E3E3"/>
            </w:tcBorders>
            <w:gridSpan w:val="3"/>
          </w:tcPr>
          <w:p>
            <w:pPr>
              <w:ind w:left="180"/>
              <w:spacing w:after="0" w:line="225" w:lineRule="exact"/>
              <w:rPr>
                <w:sz w:val="20"/>
                <w:szCs w:val="20"/>
                <w:color w:val="auto"/>
              </w:rPr>
            </w:pPr>
            <w:r>
              <w:rPr>
                <w:rFonts w:ascii="Times New Roman" w:cs="Times New Roman" w:eastAsia="Times New Roman" w:hAnsi="Times New Roman"/>
                <w:sz w:val="20"/>
                <w:szCs w:val="20"/>
                <w:color w:val="auto"/>
              </w:rPr>
              <w:t>Tax attribute expiration</w:t>
            </w: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922</w:t>
            </w:r>
          </w:p>
        </w:tc>
        <w:tc>
          <w:tcPr>
            <w:tcW w:w="1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100" w:type="dxa"/>
            <w:vAlign w:val="bottom"/>
            <w:tcBorders>
              <w:bottom w:val="single" w:sz="8" w:color="E3E3E3"/>
            </w:tcBorders>
            <w:gridSpan w:val="2"/>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rPr>
              <w:t>(1.0)</w:t>
            </w:r>
          </w:p>
        </w:tc>
        <w:tc>
          <w:tcPr>
            <w:tcW w:w="1160" w:type="dxa"/>
            <w:vAlign w:val="bottom"/>
            <w:tcBorders>
              <w:bottom w:val="single" w:sz="8" w:color="E3E3E3"/>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(4.1)</w:t>
            </w:r>
          </w:p>
        </w:tc>
        <w:tc>
          <w:tcPr>
            <w:tcW w:w="260" w:type="dxa"/>
            <w:vAlign w:val="bottom"/>
            <w:tcBorders>
              <w:bottom w:val="single" w:sz="8" w:color="E3E3E3"/>
            </w:tcBorders>
            <w:gridSpan w:val="2"/>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120" w:type="dxa"/>
            <w:vAlign w:val="bottom"/>
            <w:tcBorders>
              <w:bottom w:val="single" w:sz="8" w:color="E3E3E3"/>
            </w:tcBorders>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560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Uncertain tax positions</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409</w:t>
            </w:r>
          </w:p>
        </w:tc>
        <w:tc>
          <w:tcPr>
            <w:tcW w:w="1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(0.4)</w:t>
            </w:r>
          </w:p>
        </w:tc>
        <w:tc>
          <w:tcPr>
            <w:tcW w:w="16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(6.1)</w:t>
            </w:r>
          </w:p>
        </w:tc>
        <w:tc>
          <w:tcPr>
            <w:tcW w:w="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right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(2.0)</w:t>
            </w:r>
          </w:p>
        </w:tc>
        <w:tc>
          <w:tcPr>
            <w:tcW w:w="1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E3E3E3"/>
            </w:tcBorders>
            <w:gridSpan w:val="3"/>
          </w:tcPr>
          <w:p>
            <w:pPr>
              <w:spacing w:after="0" w:line="225" w:lineRule="exact"/>
              <w:rPr>
                <w:sz w:val="20"/>
                <w:szCs w:val="20"/>
                <w:color w:val="auto"/>
              </w:rPr>
            </w:pPr>
            <w:r>
              <w:rPr>
                <w:rFonts w:ascii="Times New Roman" w:cs="Times New Roman" w:eastAsia="Times New Roman" w:hAnsi="Times New Roman"/>
                <w:sz w:val="20"/>
                <w:szCs w:val="20"/>
                <w:color w:val="auto"/>
              </w:rPr>
              <w:t>State tax, net of federal benefit</w:t>
            </w:r>
          </w:p>
        </w:tc>
        <w:tc>
          <w:tcPr>
            <w:tcW w:w="100" w:type="dxa"/>
            <w:vAlign w:val="bottom"/>
            <w:tcBorders>
              <w:bottom w:val="single" w:sz="8" w:color="E3E3E3"/>
            </w:tcBorders>
          </w:tcPr>
          <w:p>
            <w:pPr>
              <w:spacing w:after="0"/>
              <w:rPr>
                <w:sz w:val="19"/>
                <w:szCs w:val="19"/>
                <w:color w:val="auto"/>
              </w:rPr>
            </w:pPr>
          </w:p>
        </w:tc>
        <w:tc>
          <w:tcPr>
            <w:tcW w:w="1240" w:type="dxa"/>
            <w:vAlign w:val="bottom"/>
            <w:tcBorders>
              <w:bottom w:val="single" w:sz="8" w:color="E3E3E3"/>
            </w:tcBorders>
            <w:gridSpan w:val="3"/>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1100" w:type="dxa"/>
            <w:vAlign w:val="bottom"/>
            <w:tcBorders>
              <w:bottom w:val="single" w:sz="8" w:color="E3E3E3"/>
            </w:tcBorders>
            <w:gridSpan w:val="2"/>
          </w:tcPr>
          <w:p>
            <w:pPr>
              <w:jc w:val="right"/>
              <w:ind w:right="16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19"/>
                <w:szCs w:val="19"/>
                <w:color w:val="auto"/>
              </w:rPr>
            </w:pPr>
          </w:p>
        </w:tc>
        <w:tc>
          <w:tcPr>
            <w:tcW w:w="8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960" w:type="dxa"/>
            <w:vAlign w:val="bottom"/>
            <w:tcBorders>
              <w:bottom w:val="single" w:sz="8" w:color="E3E3E3"/>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E3E3E3"/>
            </w:tcBorders>
            <w:gridSpan w:val="2"/>
          </w:tcPr>
          <w:p>
            <w:pPr>
              <w:spacing w:after="0"/>
              <w:rPr>
                <w:sz w:val="19"/>
                <w:szCs w:val="19"/>
                <w:color w:val="auto"/>
              </w:rPr>
            </w:pPr>
          </w:p>
        </w:tc>
        <w:tc>
          <w:tcPr>
            <w:tcW w:w="100" w:type="dxa"/>
            <w:vAlign w:val="bottom"/>
            <w:tcBorders>
              <w:bottom w:val="single" w:sz="8" w:color="E3E3E3"/>
            </w:tcBorders>
            <w:gridSpan w:val="2"/>
          </w:tcPr>
          <w:p>
            <w:pPr>
              <w:spacing w:after="0"/>
              <w:rPr>
                <w:sz w:val="19"/>
                <w:szCs w:val="19"/>
                <w:color w:val="auto"/>
              </w:rPr>
            </w:pPr>
          </w:p>
        </w:tc>
        <w:tc>
          <w:tcPr>
            <w:tcW w:w="1120" w:type="dxa"/>
            <w:vAlign w:val="bottom"/>
            <w:tcBorders>
              <w:bottom w:val="single" w:sz="8" w:color="E3E3E3"/>
            </w:tcBorders>
            <w:gridSpan w:val="2"/>
          </w:tcPr>
          <w:p>
            <w:pPr>
              <w:jc w:val="right"/>
              <w:ind w:right="180"/>
              <w:spacing w:after="0" w:line="22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560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Other</w:t>
            </w: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7</w:t>
            </w:r>
          </w:p>
        </w:tc>
        <w:tc>
          <w:tcPr>
            <w:tcW w:w="1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100" w:type="dxa"/>
            <w:vAlign w:val="bottom"/>
            <w:tcBorders>
              <w:bottom w:val="single" w:sz="8" w:color="E3E3E3"/>
            </w:tcBorders>
            <w:shd w:val="clear" w:color="auto" w:fill="E3E3E3"/>
          </w:tcPr>
          <w:p>
            <w:pPr>
              <w:spacing w:after="0"/>
              <w:rPr>
                <w:sz w:val="18"/>
                <w:szCs w:val="18"/>
                <w:color w:val="auto"/>
              </w:rPr>
            </w:pPr>
          </w:p>
        </w:tc>
        <w:tc>
          <w:tcPr>
            <w:tcW w:w="9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0.3</w:t>
            </w:r>
          </w:p>
        </w:tc>
        <w:tc>
          <w:tcPr>
            <w:tcW w:w="20" w:type="dxa"/>
            <w:vAlign w:val="bottom"/>
            <w:tcBorders>
              <w:bottom w:val="single" w:sz="8" w:color="E3E3E3"/>
            </w:tcBorders>
            <w:shd w:val="clear" w:color="auto" w:fill="E3E3E3"/>
          </w:tcPr>
          <w:p>
            <w:pPr>
              <w:spacing w:after="0"/>
              <w:rPr>
                <w:sz w:val="18"/>
                <w:szCs w:val="18"/>
                <w:color w:val="auto"/>
              </w:rPr>
            </w:pPr>
          </w:p>
        </w:tc>
        <w:tc>
          <w:tcPr>
            <w:tcW w:w="240" w:type="dxa"/>
            <w:vAlign w:val="bottom"/>
            <w:tcBorders>
              <w:bottom w:val="single" w:sz="8" w:color="E3E3E3"/>
              <w:right w:val="single" w:sz="8" w:color="E3E3E3"/>
            </w:tcBorders>
            <w:shd w:val="clear" w:color="auto" w:fill="E3E3E3"/>
          </w:tcPr>
          <w:p>
            <w:pPr>
              <w:spacing w:after="0"/>
              <w:rPr>
                <w:sz w:val="18"/>
                <w:szCs w:val="18"/>
                <w:color w:val="auto"/>
              </w:rPr>
            </w:pPr>
          </w:p>
        </w:tc>
        <w:tc>
          <w:tcPr>
            <w:tcW w:w="80" w:type="dxa"/>
            <w:vAlign w:val="bottom"/>
            <w:tcBorders>
              <w:bottom w:val="single" w:sz="8" w:color="E3E3E3"/>
            </w:tcBorders>
            <w:shd w:val="clear" w:color="auto" w:fill="E3E3E3"/>
          </w:tcPr>
          <w:p>
            <w:pPr>
              <w:spacing w:after="0"/>
              <w:rPr>
                <w:sz w:val="18"/>
                <w:szCs w:val="18"/>
                <w:color w:val="auto"/>
              </w:rPr>
            </w:pPr>
          </w:p>
        </w:tc>
        <w:tc>
          <w:tcPr>
            <w:tcW w:w="20" w:type="dxa"/>
            <w:vAlign w:val="bottom"/>
            <w:tcBorders>
              <w:bottom w:val="single" w:sz="8" w:color="E3E3E3"/>
            </w:tcBorders>
            <w:shd w:val="clear" w:color="auto" w:fill="E3E3E3"/>
          </w:tcPr>
          <w:p>
            <w:pPr>
              <w:spacing w:after="0"/>
              <w:rPr>
                <w:sz w:val="18"/>
                <w:szCs w:val="18"/>
                <w:color w:val="auto"/>
              </w:rPr>
            </w:pPr>
          </w:p>
        </w:tc>
        <w:tc>
          <w:tcPr>
            <w:tcW w:w="94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(0.3)</w:t>
            </w:r>
          </w:p>
        </w:tc>
        <w:tc>
          <w:tcPr>
            <w:tcW w:w="180" w:type="dxa"/>
            <w:vAlign w:val="bottom"/>
            <w:tcBorders>
              <w:bottom w:val="single" w:sz="8" w:color="E3E3E3"/>
            </w:tcBorders>
            <w:shd w:val="clear" w:color="auto" w:fill="E3E3E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E3E3E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E3E3E3"/>
          </w:tcPr>
          <w:p>
            <w:pPr>
              <w:spacing w:after="0" w:line="20" w:lineRule="exact"/>
              <w:rPr>
                <w:sz w:val="1"/>
                <w:szCs w:val="1"/>
                <w:color w:val="auto"/>
              </w:rPr>
            </w:pPr>
          </w:p>
        </w:tc>
        <w:tc>
          <w:tcPr>
            <w:tcW w:w="20" w:type="dxa"/>
            <w:vAlign w:val="bottom"/>
            <w:shd w:val="clear" w:color="auto" w:fill="E3E3E3"/>
          </w:tcPr>
          <w:p>
            <w:pPr>
              <w:spacing w:after="0" w:line="20" w:lineRule="exact"/>
              <w:rPr>
                <w:sz w:val="1"/>
                <w:szCs w:val="1"/>
                <w:color w:val="auto"/>
              </w:rPr>
            </w:pPr>
          </w:p>
        </w:tc>
        <w:tc>
          <w:tcPr>
            <w:tcW w:w="80" w:type="dxa"/>
            <w:vAlign w:val="bottom"/>
            <w:shd w:val="clear" w:color="auto" w:fill="E3E3E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E3E3E3"/>
            </w:tcBorders>
            <w:gridSpan w:val="2"/>
            <w:shd w:val="clear" w:color="auto" w:fill="E3E3E3"/>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E3E3E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2"/>
        </w:trPr>
        <w:tc>
          <w:tcPr>
            <w:tcW w:w="5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4469130</wp:posOffset>
                </wp:positionH>
                <wp:positionV relativeFrom="paragraph">
                  <wp:posOffset>-2181860</wp:posOffset>
                </wp:positionV>
                <wp:extent cx="1445260" cy="15240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5260" cy="152400"/>
                        </a:xfrm>
                        <a:prstGeom prst="rect">
                          <a:avLst/>
                        </a:prstGeom>
                        <a:solidFill>
                          <a:srgbClr val="E3E3E3"/>
                        </a:solidFill>
                      </wps:spPr>
                      <wps:bodyPr/>
                    </wps:wsp>
                  </a:graphicData>
                </a:graphic>
              </wp:anchor>
            </w:drawing>
          </mc:Choice>
          <mc:Fallback>
            <w:pict>
              <v:rect id="Shape 112" o:spid="_x0000_s1137" style="position:absolute;margin-left:351.9pt;margin-top:-171.7999pt;width:113.8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4473575</wp:posOffset>
                </wp:positionH>
                <wp:positionV relativeFrom="paragraph">
                  <wp:posOffset>-2179320</wp:posOffset>
                </wp:positionV>
                <wp:extent cx="600710" cy="1460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710" cy="146050"/>
                        </a:xfrm>
                        <a:prstGeom prst="rect">
                          <a:avLst/>
                        </a:prstGeom>
                        <a:solidFill>
                          <a:srgbClr val="E3E3E3"/>
                        </a:solidFill>
                      </wps:spPr>
                      <wps:bodyPr/>
                    </wps:wsp>
                  </a:graphicData>
                </a:graphic>
              </wp:anchor>
            </w:drawing>
          </mc:Choice>
          <mc:Fallback>
            <w:pict>
              <v:rect id="Shape 113" o:spid="_x0000_s1138" style="position:absolute;margin-left:352.25pt;margin-top:-171.5999pt;width:47.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5308600</wp:posOffset>
                </wp:positionH>
                <wp:positionV relativeFrom="paragraph">
                  <wp:posOffset>-2179320</wp:posOffset>
                </wp:positionV>
                <wp:extent cx="602615" cy="14605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2615" cy="146050"/>
                        </a:xfrm>
                        <a:prstGeom prst="rect">
                          <a:avLst/>
                        </a:prstGeom>
                        <a:solidFill>
                          <a:srgbClr val="E3E3E3"/>
                        </a:solidFill>
                      </wps:spPr>
                      <wps:bodyPr/>
                    </wps:wsp>
                  </a:graphicData>
                </a:graphic>
              </wp:anchor>
            </w:drawing>
          </mc:Choice>
          <mc:Fallback>
            <w:pict>
              <v:rect id="Shape 114" o:spid="_x0000_s1139" style="position:absolute;margin-left:418pt;margin-top:-171.5999pt;width:47.4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5914390</wp:posOffset>
                </wp:positionH>
                <wp:positionV relativeFrom="paragraph">
                  <wp:posOffset>-2182495</wp:posOffset>
                </wp:positionV>
                <wp:extent cx="228600" cy="15240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 cy="152400"/>
                        </a:xfrm>
                        <a:prstGeom prst="rect">
                          <a:avLst/>
                        </a:prstGeom>
                        <a:solidFill>
                          <a:srgbClr val="E3E3E3"/>
                        </a:solidFill>
                      </wps:spPr>
                      <wps:bodyPr/>
                    </wps:wsp>
                  </a:graphicData>
                </a:graphic>
              </wp:anchor>
            </w:drawing>
          </mc:Choice>
          <mc:Fallback>
            <w:pict>
              <v:rect id="Shape 115" o:spid="_x0000_s1140" style="position:absolute;margin-left:465.7pt;margin-top:-171.8499pt;width:18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6145530</wp:posOffset>
                </wp:positionH>
                <wp:positionV relativeFrom="paragraph">
                  <wp:posOffset>-2179320</wp:posOffset>
                </wp:positionV>
                <wp:extent cx="600710" cy="14605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710" cy="146050"/>
                        </a:xfrm>
                        <a:prstGeom prst="rect">
                          <a:avLst/>
                        </a:prstGeom>
                        <a:solidFill>
                          <a:srgbClr val="E3E3E3"/>
                        </a:solidFill>
                      </wps:spPr>
                      <wps:bodyPr/>
                    </wps:wsp>
                  </a:graphicData>
                </a:graphic>
              </wp:anchor>
            </w:drawing>
          </mc:Choice>
          <mc:Fallback>
            <w:pict>
              <v:rect id="Shape 116" o:spid="_x0000_s1141" style="position:absolute;margin-left:483.9pt;margin-top:-171.5999pt;width:47.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4295140</wp:posOffset>
                </wp:positionH>
                <wp:positionV relativeFrom="paragraph">
                  <wp:posOffset>-193040</wp:posOffset>
                </wp:positionV>
                <wp:extent cx="11620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0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2pt,-15.1999pt" to="347.3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5076825</wp:posOffset>
                </wp:positionH>
                <wp:positionV relativeFrom="paragraph">
                  <wp:posOffset>-193040</wp:posOffset>
                </wp:positionV>
                <wp:extent cx="17081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81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75pt,-15.1999pt" to="413.2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5914390</wp:posOffset>
                </wp:positionH>
                <wp:positionV relativeFrom="paragraph">
                  <wp:posOffset>-193040</wp:posOffset>
                </wp:positionV>
                <wp:extent cx="17018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1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7pt,-15.1999pt" to="479.1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-26670</wp:posOffset>
                </wp:positionV>
                <wp:extent cx="429133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133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999pt" to="338.1pt,-2.0999pt" o:allowincell="f" strokecolor="#FFFFFF" strokeweight="2.5199pt"/>
            </w:pict>
          </mc:Fallback>
        </mc:AlternateContent>
        <mc:AlternateContent>
          <mc:Choice Requires="wps">
            <w:drawing>
              <wp:anchor simplePos="0" relativeHeight="251657728" behindDoc="1" locked="0" layoutInCell="0" allowOverlap="1">
                <wp:simplePos x="0" y="0"/>
                <wp:positionH relativeFrom="column">
                  <wp:posOffset>6142990</wp:posOffset>
                </wp:positionH>
                <wp:positionV relativeFrom="paragraph">
                  <wp:posOffset>-26670</wp:posOffset>
                </wp:positionV>
                <wp:extent cx="71882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7pt,-2.0999pt" to="540.3pt,-2.0999pt" o:allowincell="f" strokecolor="#FFFFFF" strokeweight="2.5199pt"/>
            </w:pict>
          </mc:Fallback>
        </mc:AlternateConten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Deferred tax assets and valuation allowance</w:t>
      </w:r>
    </w:p>
    <w:p>
      <w:pPr>
        <w:spacing w:after="0" w:line="229"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Deferred tax assets reflect the tax effects of net operating loss and tax credit carryforwards and temporary differences between the carrying amounts of assets and liabilities for financial reporting purposes and the amounts used for income tax purposes. The Company’s deferred taxes assets at December 31, 2025 and 2024 were valued at the corporate tax rate of 21%. The Company offsets its deferred tax assets by a valuation allowance because it is uncertain about the timing and amount of any future profits. Significant components of its deferred tax assets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756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tcBorders>
              <w:bottom w:val="single" w:sz="8" w:color="E3E3E3"/>
            </w:tcBorders>
          </w:tcPr>
          <w:p>
            <w:pPr>
              <w:spacing w:after="0"/>
              <w:rPr>
                <w:sz w:val="20"/>
                <w:szCs w:val="20"/>
                <w:color w:val="auto"/>
              </w:rPr>
            </w:pPr>
          </w:p>
        </w:tc>
      </w:tr>
      <w:tr>
        <w:trPr>
          <w:trHeight w:val="230"/>
        </w:trPr>
        <w:tc>
          <w:tcPr>
            <w:tcW w:w="7560" w:type="dxa"/>
            <w:vAlign w:val="bottom"/>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Deferred tax assets:</w:t>
            </w:r>
          </w:p>
        </w:tc>
        <w:tc>
          <w:tcPr>
            <w:tcW w:w="20" w:type="dxa"/>
            <w:vAlign w:val="bottom"/>
            <w:shd w:val="clear" w:color="auto" w:fill="E3E3E3"/>
          </w:tcPr>
          <w:p>
            <w:pPr>
              <w:spacing w:after="0"/>
              <w:rPr>
                <w:sz w:val="19"/>
                <w:szCs w:val="19"/>
                <w:color w:val="auto"/>
              </w:rPr>
            </w:pPr>
          </w:p>
        </w:tc>
        <w:tc>
          <w:tcPr>
            <w:tcW w:w="8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80" w:type="dxa"/>
            <w:vAlign w:val="bottom"/>
            <w:shd w:val="clear" w:color="auto" w:fill="E3E3E3"/>
          </w:tcPr>
          <w:p>
            <w:pPr>
              <w:spacing w:after="0"/>
              <w:rPr>
                <w:sz w:val="19"/>
                <w:szCs w:val="19"/>
                <w:color w:val="auto"/>
              </w:rPr>
            </w:pPr>
          </w:p>
        </w:tc>
        <w:tc>
          <w:tcPr>
            <w:tcW w:w="9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40"/>
        </w:trPr>
        <w:tc>
          <w:tcPr>
            <w:tcW w:w="7680" w:type="dxa"/>
            <w:vAlign w:val="bottom"/>
            <w:tcBorders>
              <w:bottom w:val="single" w:sz="8" w:color="E3E3E3"/>
            </w:tcBorders>
            <w:gridSpan w:val="4"/>
          </w:tcPr>
          <w:p>
            <w:pPr>
              <w:ind w:left="18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78,632</w:t>
            </w:r>
          </w:p>
        </w:tc>
        <w:tc>
          <w:tcPr>
            <w:tcW w:w="100" w:type="dxa"/>
            <w:vAlign w:val="bottom"/>
            <w:tcBorders>
              <w:bottom w:val="single" w:sz="8" w:color="E3E3E3"/>
            </w:tcBorders>
          </w:tcPr>
          <w:p>
            <w:pPr>
              <w:spacing w:after="0"/>
              <w:rPr>
                <w:sz w:val="20"/>
                <w:szCs w:val="20"/>
                <w:color w:val="auto"/>
              </w:rPr>
            </w:pPr>
          </w:p>
        </w:tc>
        <w:tc>
          <w:tcPr>
            <w:tcW w:w="220" w:type="dxa"/>
            <w:vAlign w:val="bottom"/>
            <w:tcBorders>
              <w:bottom w:val="single" w:sz="8" w:color="E3E3E3"/>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Borders>
              <w:bottom w:val="single" w:sz="8" w:color="E3E3E3"/>
            </w:tcBorders>
          </w:tcPr>
          <w:p>
            <w:pPr>
              <w:spacing w:after="0"/>
              <w:rPr>
                <w:sz w:val="20"/>
                <w:szCs w:val="20"/>
                <w:color w:val="auto"/>
              </w:rPr>
            </w:pPr>
          </w:p>
        </w:tc>
        <w:tc>
          <w:tcPr>
            <w:tcW w:w="9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43,148</w:t>
            </w:r>
          </w:p>
        </w:tc>
        <w:tc>
          <w:tcPr>
            <w:tcW w:w="100" w:type="dxa"/>
            <w:vAlign w:val="bottom"/>
            <w:tcBorders>
              <w:bottom w:val="single" w:sz="8" w:color="E3E3E3"/>
            </w:tcBorders>
          </w:tcPr>
          <w:p>
            <w:pPr>
              <w:spacing w:after="0"/>
              <w:rPr>
                <w:sz w:val="20"/>
                <w:szCs w:val="20"/>
                <w:color w:val="auto"/>
              </w:rPr>
            </w:pPr>
          </w:p>
        </w:tc>
      </w:tr>
      <w:tr>
        <w:trPr>
          <w:trHeight w:val="233"/>
        </w:trPr>
        <w:tc>
          <w:tcPr>
            <w:tcW w:w="756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Legal reserves</w:t>
            </w:r>
          </w:p>
        </w:tc>
        <w:tc>
          <w:tcPr>
            <w:tcW w:w="2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6,563</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380" w:type="dxa"/>
            <w:vAlign w:val="bottom"/>
            <w:tcBorders>
              <w:bottom w:val="single" w:sz="8" w:color="auto"/>
            </w:tcBorders>
            <w:shd w:val="clear" w:color="auto" w:fill="E3E3E3"/>
          </w:tcPr>
          <w:p>
            <w:pPr>
              <w:spacing w:after="0"/>
              <w:rPr>
                <w:sz w:val="20"/>
                <w:szCs w:val="20"/>
                <w:color w:val="auto"/>
              </w:rPr>
            </w:pPr>
          </w:p>
        </w:tc>
        <w:tc>
          <w:tcPr>
            <w:tcW w:w="92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7"/>
        </w:trPr>
        <w:tc>
          <w:tcPr>
            <w:tcW w:w="7560" w:type="dxa"/>
            <w:vAlign w:val="bottom"/>
          </w:tcPr>
          <w:p>
            <w:pPr>
              <w:ind w:left="180"/>
              <w:spacing w:after="0" w:line="215" w:lineRule="exact"/>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5,319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4,814</w:t>
            </w:r>
          </w:p>
        </w:tc>
        <w:tc>
          <w:tcPr>
            <w:tcW w:w="100" w:type="dxa"/>
            <w:vAlign w:val="bottom"/>
          </w:tcPr>
          <w:p>
            <w:pPr>
              <w:spacing w:after="0"/>
              <w:rPr>
                <w:sz w:val="18"/>
                <w:szCs w:val="18"/>
                <w:color w:val="auto"/>
              </w:rPr>
            </w:pPr>
          </w:p>
        </w:tc>
      </w:tr>
      <w:tr>
        <w:trPr>
          <w:trHeight w:val="242"/>
        </w:trPr>
        <w:tc>
          <w:tcPr>
            <w:tcW w:w="75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Research and development credit carryforwards</w:t>
            </w:r>
          </w:p>
        </w:tc>
        <w:tc>
          <w:tcPr>
            <w:tcW w:w="20" w:type="dxa"/>
            <w:vAlign w:val="bottom"/>
            <w:shd w:val="clear" w:color="auto" w:fill="E3E3E3"/>
          </w:tcPr>
          <w:p>
            <w:pPr>
              <w:spacing w:after="0"/>
              <w:rPr>
                <w:sz w:val="21"/>
                <w:szCs w:val="21"/>
                <w:color w:val="auto"/>
              </w:rPr>
            </w:pPr>
          </w:p>
        </w:tc>
        <w:tc>
          <w:tcPr>
            <w:tcW w:w="8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13,480</w:t>
            </w:r>
          </w:p>
        </w:tc>
        <w:tc>
          <w:tcPr>
            <w:tcW w:w="10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380" w:type="dxa"/>
            <w:vAlign w:val="bottom"/>
            <w:shd w:val="clear" w:color="auto" w:fill="E3E3E3"/>
          </w:tcPr>
          <w:p>
            <w:pPr>
              <w:spacing w:after="0"/>
              <w:rPr>
                <w:sz w:val="21"/>
                <w:szCs w:val="21"/>
                <w:color w:val="auto"/>
              </w:rPr>
            </w:pPr>
          </w:p>
        </w:tc>
        <w:tc>
          <w:tcPr>
            <w:tcW w:w="9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13,789</w:t>
            </w:r>
          </w:p>
        </w:tc>
        <w:tc>
          <w:tcPr>
            <w:tcW w:w="100" w:type="dxa"/>
            <w:vAlign w:val="bottom"/>
            <w:shd w:val="clear" w:color="auto" w:fill="E3E3E3"/>
          </w:tcPr>
          <w:p>
            <w:pPr>
              <w:spacing w:after="0"/>
              <w:rPr>
                <w:sz w:val="21"/>
                <w:szCs w:val="21"/>
                <w:color w:val="auto"/>
              </w:rPr>
            </w:pPr>
          </w:p>
        </w:tc>
      </w:tr>
      <w:tr>
        <w:trPr>
          <w:trHeight w:val="240"/>
        </w:trPr>
        <w:tc>
          <w:tcPr>
            <w:tcW w:w="7680" w:type="dxa"/>
            <w:vAlign w:val="bottom"/>
            <w:tcBorders>
              <w:bottom w:val="single" w:sz="8" w:color="E3E3E3"/>
            </w:tcBorders>
            <w:gridSpan w:val="4"/>
          </w:tcPr>
          <w:p>
            <w:pPr>
              <w:ind w:left="180"/>
              <w:spacing w:after="0"/>
              <w:rPr>
                <w:sz w:val="20"/>
                <w:szCs w:val="20"/>
                <w:color w:val="auto"/>
              </w:rPr>
            </w:pPr>
            <w:r>
              <w:rPr>
                <w:rFonts w:ascii="Times New Roman" w:cs="Times New Roman" w:eastAsia="Times New Roman" w:hAnsi="Times New Roman"/>
                <w:sz w:val="20"/>
                <w:szCs w:val="20"/>
                <w:color w:val="auto"/>
              </w:rPr>
              <w:t>Capitalized research and development expenses</w:t>
            </w: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6,919</w:t>
            </w:r>
          </w:p>
        </w:tc>
        <w:tc>
          <w:tcPr>
            <w:tcW w:w="10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E3E3E3"/>
            </w:tcBorders>
          </w:tcPr>
          <w:p>
            <w:pPr>
              <w:spacing w:after="0"/>
              <w:rPr>
                <w:sz w:val="20"/>
                <w:szCs w:val="20"/>
                <w:color w:val="auto"/>
              </w:rPr>
            </w:pPr>
          </w:p>
        </w:tc>
        <w:tc>
          <w:tcPr>
            <w:tcW w:w="92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33,598</w:t>
            </w:r>
          </w:p>
        </w:tc>
        <w:tc>
          <w:tcPr>
            <w:tcW w:w="100" w:type="dxa"/>
            <w:vAlign w:val="bottom"/>
            <w:tcBorders>
              <w:bottom w:val="single" w:sz="8" w:color="E3E3E3"/>
            </w:tcBorders>
          </w:tcPr>
          <w:p>
            <w:pPr>
              <w:spacing w:after="0"/>
              <w:rPr>
                <w:sz w:val="20"/>
                <w:szCs w:val="20"/>
                <w:color w:val="auto"/>
              </w:rPr>
            </w:pPr>
          </w:p>
        </w:tc>
      </w:tr>
      <w:tr>
        <w:trPr>
          <w:trHeight w:val="233"/>
        </w:trPr>
        <w:tc>
          <w:tcPr>
            <w:tcW w:w="756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Other</w:t>
            </w:r>
          </w:p>
        </w:tc>
        <w:tc>
          <w:tcPr>
            <w:tcW w:w="2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985</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380" w:type="dxa"/>
            <w:vAlign w:val="bottom"/>
            <w:tcBorders>
              <w:bottom w:val="single" w:sz="8" w:color="auto"/>
            </w:tcBorders>
            <w:shd w:val="clear" w:color="auto" w:fill="E3E3E3"/>
          </w:tcPr>
          <w:p>
            <w:pPr>
              <w:spacing w:after="0"/>
              <w:rPr>
                <w:sz w:val="20"/>
                <w:szCs w:val="20"/>
                <w:color w:val="auto"/>
              </w:rPr>
            </w:pPr>
          </w:p>
        </w:tc>
        <w:tc>
          <w:tcPr>
            <w:tcW w:w="92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1,340</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22"/>
        </w:trPr>
        <w:tc>
          <w:tcPr>
            <w:tcW w:w="7680" w:type="dxa"/>
            <w:vAlign w:val="bottom"/>
            <w:tcBorders>
              <w:bottom w:val="single" w:sz="8" w:color="E3E3E3"/>
            </w:tcBorders>
            <w:gridSpan w:val="4"/>
          </w:tcPr>
          <w:p>
            <w:pPr>
              <w:spacing w:after="0" w:line="222" w:lineRule="exact"/>
              <w:rPr>
                <w:sz w:val="20"/>
                <w:szCs w:val="20"/>
                <w:color w:val="auto"/>
              </w:rPr>
            </w:pPr>
            <w:r>
              <w:rPr>
                <w:rFonts w:ascii="Times New Roman" w:cs="Times New Roman" w:eastAsia="Times New Roman" w:hAnsi="Times New Roman"/>
                <w:sz w:val="20"/>
                <w:szCs w:val="20"/>
                <w:color w:val="auto"/>
              </w:rPr>
              <w:t>Total deferred tax assets</w:t>
            </w:r>
          </w:p>
        </w:tc>
        <w:tc>
          <w:tcPr>
            <w:tcW w:w="100" w:type="dxa"/>
            <w:vAlign w:val="bottom"/>
            <w:tcBorders>
              <w:bottom w:val="single" w:sz="8" w:color="E3E3E3"/>
            </w:tcBorders>
          </w:tcPr>
          <w:p>
            <w:pPr>
              <w:spacing w:after="0"/>
              <w:rPr>
                <w:sz w:val="19"/>
                <w:szCs w:val="19"/>
                <w:color w:val="auto"/>
              </w:rPr>
            </w:pPr>
          </w:p>
        </w:tc>
        <w:tc>
          <w:tcPr>
            <w:tcW w:w="1300" w:type="dxa"/>
            <w:vAlign w:val="bottom"/>
            <w:tcBorders>
              <w:bottom w:val="single" w:sz="8" w:color="E3E3E3"/>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111,898</w:t>
            </w:r>
          </w:p>
        </w:tc>
        <w:tc>
          <w:tcPr>
            <w:tcW w:w="10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20" w:type="dxa"/>
            <w:vAlign w:val="bottom"/>
            <w:tcBorders>
              <w:bottom w:val="single" w:sz="8" w:color="E3E3E3"/>
            </w:tcBorders>
          </w:tcPr>
          <w:p>
            <w:pPr>
              <w:spacing w:after="0"/>
              <w:rPr>
                <w:sz w:val="19"/>
                <w:szCs w:val="19"/>
                <w:color w:val="auto"/>
              </w:rPr>
            </w:pPr>
          </w:p>
        </w:tc>
        <w:tc>
          <w:tcPr>
            <w:tcW w:w="100" w:type="dxa"/>
            <w:vAlign w:val="bottom"/>
            <w:tcBorders>
              <w:bottom w:val="single" w:sz="8" w:color="E3E3E3"/>
            </w:tcBorders>
          </w:tcPr>
          <w:p>
            <w:pPr>
              <w:spacing w:after="0"/>
              <w:rPr>
                <w:sz w:val="19"/>
                <w:szCs w:val="19"/>
                <w:color w:val="auto"/>
              </w:rPr>
            </w:pPr>
          </w:p>
        </w:tc>
        <w:tc>
          <w:tcPr>
            <w:tcW w:w="380" w:type="dxa"/>
            <w:vAlign w:val="bottom"/>
            <w:tcBorders>
              <w:bottom w:val="single" w:sz="8" w:color="E3E3E3"/>
            </w:tcBorders>
          </w:tcPr>
          <w:p>
            <w:pPr>
              <w:spacing w:after="0"/>
              <w:rPr>
                <w:sz w:val="19"/>
                <w:szCs w:val="19"/>
                <w:color w:val="auto"/>
              </w:rPr>
            </w:pPr>
          </w:p>
        </w:tc>
        <w:tc>
          <w:tcPr>
            <w:tcW w:w="920" w:type="dxa"/>
            <w:vAlign w:val="bottom"/>
            <w:tcBorders>
              <w:bottom w:val="single" w:sz="8" w:color="E3E3E3"/>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96,689</w:t>
            </w:r>
          </w:p>
        </w:tc>
        <w:tc>
          <w:tcPr>
            <w:tcW w:w="100" w:type="dxa"/>
            <w:vAlign w:val="bottom"/>
            <w:tcBorders>
              <w:bottom w:val="single" w:sz="8" w:color="E3E3E3"/>
            </w:tcBorders>
          </w:tcPr>
          <w:p>
            <w:pPr>
              <w:spacing w:after="0"/>
              <w:rPr>
                <w:sz w:val="19"/>
                <w:szCs w:val="19"/>
                <w:color w:val="auto"/>
              </w:rPr>
            </w:pPr>
          </w:p>
        </w:tc>
      </w:tr>
      <w:tr>
        <w:trPr>
          <w:trHeight w:val="233"/>
        </w:trPr>
        <w:tc>
          <w:tcPr>
            <w:tcW w:w="756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Borders>
              <w:bottom w:val="single" w:sz="8" w:color="E3E3E3"/>
            </w:tcBorders>
            <w:shd w:val="clear" w:color="auto" w:fill="E3E3E3"/>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(111,896)</w:t>
            </w:r>
          </w:p>
        </w:tc>
        <w:tc>
          <w:tcPr>
            <w:tcW w:w="10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380" w:type="dxa"/>
            <w:vAlign w:val="bottom"/>
            <w:tcBorders>
              <w:bottom w:val="single" w:sz="8" w:color="auto"/>
            </w:tcBorders>
            <w:shd w:val="clear" w:color="auto" w:fill="E3E3E3"/>
          </w:tcPr>
          <w:p>
            <w:pPr>
              <w:spacing w:after="0"/>
              <w:rPr>
                <w:sz w:val="20"/>
                <w:szCs w:val="20"/>
                <w:color w:val="auto"/>
              </w:rPr>
            </w:pPr>
          </w:p>
        </w:tc>
        <w:tc>
          <w:tcPr>
            <w:tcW w:w="920" w:type="dxa"/>
            <w:vAlign w:val="bottom"/>
            <w:tcBorders>
              <w:bottom w:val="single" w:sz="8" w:color="auto"/>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(96,689)</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9"/>
        </w:trPr>
        <w:tc>
          <w:tcPr>
            <w:tcW w:w="7680" w:type="dxa"/>
            <w:vAlign w:val="bottom"/>
            <w:gridSpan w:val="4"/>
          </w:tcPr>
          <w:p>
            <w:pPr>
              <w:spacing w:after="0" w:line="219" w:lineRule="exact"/>
              <w:rPr>
                <w:sz w:val="20"/>
                <w:szCs w:val="20"/>
                <w:color w:val="auto"/>
              </w:rPr>
            </w:pPr>
            <w:r>
              <w:rPr>
                <w:rFonts w:ascii="Times New Roman" w:cs="Times New Roman" w:eastAsia="Times New Roman" w:hAnsi="Times New Roman"/>
                <w:sz w:val="20"/>
                <w:szCs w:val="20"/>
                <w:color w:val="auto"/>
              </w:rPr>
              <w:t>Net deferred tax assets</w:t>
            </w:r>
          </w:p>
        </w:tc>
        <w:tc>
          <w:tcPr>
            <w:tcW w:w="10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r>
      <w:tr>
        <w:trPr>
          <w:trHeight w:val="240"/>
        </w:trPr>
        <w:tc>
          <w:tcPr>
            <w:tcW w:w="75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9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38"/>
        </w:trPr>
        <w:tc>
          <w:tcPr>
            <w:tcW w:w="7560" w:type="dxa"/>
            <w:vAlign w:val="bottom"/>
            <w:tcBorders>
              <w:bottom w:val="single" w:sz="8" w:color="E3E3E3"/>
            </w:tcBorders>
          </w:tcPr>
          <w:p>
            <w:pPr>
              <w:spacing w:after="0"/>
              <w:rPr>
                <w:sz w:val="20"/>
                <w:szCs w:val="20"/>
                <w:color w:val="auto"/>
              </w:rPr>
            </w:pPr>
            <w:r>
              <w:rPr>
                <w:rFonts w:ascii="Times New Roman" w:cs="Times New Roman" w:eastAsia="Times New Roman" w:hAnsi="Times New Roman"/>
                <w:sz w:val="20"/>
                <w:szCs w:val="20"/>
                <w:color w:val="auto"/>
              </w:rPr>
              <w:t>Intangibles</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400" w:type="dxa"/>
            <w:vAlign w:val="bottom"/>
            <w:tcBorders>
              <w:bottom w:val="single" w:sz="8" w:color="E3E3E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380" w:type="dxa"/>
            <w:vAlign w:val="bottom"/>
            <w:tcBorders>
              <w:bottom w:val="single" w:sz="8" w:color="E3E3E3"/>
            </w:tcBorders>
          </w:tcPr>
          <w:p>
            <w:pPr>
              <w:spacing w:after="0"/>
              <w:rPr>
                <w:sz w:val="20"/>
                <w:szCs w:val="20"/>
                <w:color w:val="auto"/>
              </w:rPr>
            </w:pPr>
          </w:p>
        </w:tc>
        <w:tc>
          <w:tcPr>
            <w:tcW w:w="1020" w:type="dxa"/>
            <w:vAlign w:val="bottom"/>
            <w:tcBorders>
              <w:bottom w:val="single" w:sz="8" w:color="E3E3E3"/>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5"/>
        </w:trPr>
        <w:tc>
          <w:tcPr>
            <w:tcW w:w="7560" w:type="dxa"/>
            <w:vAlign w:val="bottom"/>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20" w:type="dxa"/>
            <w:vAlign w:val="bottom"/>
            <w:shd w:val="clear" w:color="auto" w:fill="E3E3E3"/>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40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380" w:type="dxa"/>
            <w:vAlign w:val="bottom"/>
            <w:shd w:val="clear" w:color="auto" w:fill="E3E3E3"/>
          </w:tcPr>
          <w:p>
            <w:pPr>
              <w:spacing w:after="0"/>
              <w:rPr>
                <w:sz w:val="20"/>
                <w:szCs w:val="20"/>
                <w:color w:val="auto"/>
              </w:rPr>
            </w:pPr>
          </w:p>
        </w:tc>
        <w:tc>
          <w:tcPr>
            <w:tcW w:w="920" w:type="dxa"/>
            <w:vAlign w:val="bottom"/>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3E3E3"/>
          </w:tcPr>
          <w:p>
            <w:pPr>
              <w:spacing w:after="0"/>
              <w:rPr>
                <w:sz w:val="20"/>
                <w:szCs w:val="20"/>
                <w:color w:val="auto"/>
              </w:rPr>
            </w:pPr>
          </w:p>
        </w:tc>
      </w:tr>
      <w:tr>
        <w:trPr>
          <w:trHeight w:val="219"/>
        </w:trPr>
        <w:tc>
          <w:tcPr>
            <w:tcW w:w="7560" w:type="dxa"/>
            <w:vAlign w:val="bottom"/>
            <w:tcBorders>
              <w:top w:val="single" w:sz="8" w:color="E3E3E3"/>
            </w:tcBorders>
          </w:tcPr>
          <w:p>
            <w:pPr>
              <w:spacing w:after="0" w:line="215" w:lineRule="exact"/>
              <w:rPr>
                <w:sz w:val="20"/>
                <w:szCs w:val="20"/>
                <w:color w:val="auto"/>
              </w:rPr>
            </w:pPr>
            <w:r>
              <w:rPr>
                <w:rFonts w:ascii="Times New Roman" w:cs="Times New Roman" w:eastAsia="Times New Roman" w:hAnsi="Times New Roman"/>
                <w:sz w:val="20"/>
                <w:szCs w:val="20"/>
                <w:color w:val="auto"/>
              </w:rPr>
              <w:t>Net deferred tax asset (liability)</w:t>
            </w:r>
          </w:p>
        </w:tc>
        <w:tc>
          <w:tcPr>
            <w:tcW w:w="20" w:type="dxa"/>
            <w:vAlign w:val="bottom"/>
            <w:tcBorders>
              <w:top w:val="single" w:sz="8" w:color="E3E3E3"/>
            </w:tcBorders>
          </w:tcPr>
          <w:p>
            <w:pPr>
              <w:spacing w:after="0"/>
              <w:rPr>
                <w:sz w:val="19"/>
                <w:szCs w:val="19"/>
                <w:color w:val="auto"/>
              </w:rPr>
            </w:pPr>
          </w:p>
        </w:tc>
        <w:tc>
          <w:tcPr>
            <w:tcW w:w="8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3E3E3"/>
            </w:tcBorders>
          </w:tcPr>
          <w:p>
            <w:pPr>
              <w:spacing w:after="0"/>
              <w:rPr>
                <w:sz w:val="19"/>
                <w:szCs w:val="19"/>
                <w:color w:val="auto"/>
              </w:rPr>
            </w:pPr>
          </w:p>
        </w:tc>
        <w:tc>
          <w:tcPr>
            <w:tcW w:w="10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3E3E3"/>
            </w:tcBorders>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-1741805</wp:posOffset>
                </wp:positionV>
                <wp:extent cx="486854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7.1499pt" to="383.55pt,-13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-1741805</wp:posOffset>
                </wp:positionV>
                <wp:extent cx="13589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137.1499pt" to="464.6pt,-13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-1741805</wp:posOffset>
                </wp:positionV>
                <wp:extent cx="6858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137.1499pt" to="540.3pt,-13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-1589405</wp:posOffset>
                </wp:positionV>
                <wp:extent cx="109728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3047">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125.1499pt" to="540.3pt,-125.1499pt" o:allowincell="f" strokecolor="#FFFFFF"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-1124585</wp:posOffset>
                </wp:positionV>
                <wp:extent cx="486854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88.5499pt" to="383.55pt,-88.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-1124585</wp:posOffset>
                </wp:positionV>
                <wp:extent cx="13589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88.5499pt" to="464.6pt,-88.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-1124585</wp:posOffset>
                </wp:positionV>
                <wp:extent cx="6858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88.5499pt" to="540.3pt,-88.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-810895</wp:posOffset>
                </wp:positionV>
                <wp:extent cx="4868545"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63.8499pt" to="383.55pt,-6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-810895</wp:posOffset>
                </wp:positionV>
                <wp:extent cx="13589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63.8499pt" to="464.6pt,-6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-810895</wp:posOffset>
                </wp:positionV>
                <wp:extent cx="6858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63.8499pt" to="540.3pt,-63.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-504190</wp:posOffset>
                </wp:positionV>
                <wp:extent cx="5761990" cy="15303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1990" cy="153035"/>
                        </a:xfrm>
                        <a:prstGeom prst="rect">
                          <a:avLst/>
                        </a:prstGeom>
                        <a:solidFill>
                          <a:srgbClr val="FFFFFF"/>
                        </a:solidFill>
                      </wps:spPr>
                      <wps:bodyPr/>
                    </wps:wsp>
                  </a:graphicData>
                </a:graphic>
              </wp:anchor>
            </w:drawing>
          </mc:Choice>
          <mc:Fallback>
            <w:pict>
              <v:rect id="Shape 132" o:spid="_x0000_s1157" style="position:absolute;margin-left:0.25pt;margin-top:-39.6999pt;width:453.7pt;height:12.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4944745</wp:posOffset>
                </wp:positionH>
                <wp:positionV relativeFrom="paragraph">
                  <wp:posOffset>-501650</wp:posOffset>
                </wp:positionV>
                <wp:extent cx="816610" cy="14668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610" cy="146685"/>
                        </a:xfrm>
                        <a:prstGeom prst="rect">
                          <a:avLst/>
                        </a:prstGeom>
                        <a:solidFill>
                          <a:srgbClr val="FFFFFF"/>
                        </a:solidFill>
                      </wps:spPr>
                      <wps:bodyPr/>
                    </wps:wsp>
                  </a:graphicData>
                </a:graphic>
              </wp:anchor>
            </w:drawing>
          </mc:Choice>
          <mc:Fallback>
            <w:pict>
              <v:rect id="Shape 133" o:spid="_x0000_s1158" style="position:absolute;margin-left:389.35pt;margin-top:-39.4999pt;width:64.3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-502920</wp:posOffset>
                </wp:positionV>
                <wp:extent cx="109728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28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39.5999pt" to="540.3pt,-39.5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-353060</wp:posOffset>
                </wp:positionV>
                <wp:extent cx="576199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61990" cy="4763"/>
                        </a:xfrm>
                        <a:prstGeom prst="line">
                          <a:avLst/>
                        </a:prstGeom>
                        <a:solidFill>
                          <a:srgbClr val="FFFFFF"/>
                        </a:solidFill>
                        <a:ln w="3048">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7.7999pt" to="453.9pt,-27.7999pt" o:allowincell="f" strokecolor="#FFFFFF" strokeweight="0.24pt"/>
            </w:pict>
          </mc:Fallback>
        </mc:AlternateContent>
        <mc:AlternateContent>
          <mc:Choice Requires="wps">
            <w:drawing>
              <wp:anchor simplePos="0" relativeHeight="251657728" behindDoc="1" locked="0" layoutInCell="0" allowOverlap="1">
                <wp:simplePos x="0" y="0"/>
                <wp:positionH relativeFrom="column">
                  <wp:posOffset>4871085</wp:posOffset>
                </wp:positionH>
                <wp:positionV relativeFrom="paragraph">
                  <wp:posOffset>-351790</wp:posOffset>
                </wp:positionV>
                <wp:extent cx="893445" cy="15367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3445" cy="153670"/>
                        </a:xfrm>
                        <a:prstGeom prst="rect">
                          <a:avLst/>
                        </a:prstGeom>
                        <a:solidFill>
                          <a:srgbClr val="E3E3E3"/>
                        </a:solidFill>
                      </wps:spPr>
                      <wps:bodyPr/>
                    </wps:wsp>
                  </a:graphicData>
                </a:graphic>
              </wp:anchor>
            </w:drawing>
          </mc:Choice>
          <mc:Fallback>
            <w:pict>
              <v:rect id="Shape 136" o:spid="_x0000_s1161" style="position:absolute;margin-left:383.55pt;margin-top:-27.6999pt;width:70.35pt;height:12.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4944745</wp:posOffset>
                </wp:positionH>
                <wp:positionV relativeFrom="paragraph">
                  <wp:posOffset>-348615</wp:posOffset>
                </wp:positionV>
                <wp:extent cx="816610" cy="14605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610" cy="146050"/>
                        </a:xfrm>
                        <a:prstGeom prst="rect">
                          <a:avLst/>
                        </a:prstGeom>
                        <a:solidFill>
                          <a:srgbClr val="E3E3E3"/>
                        </a:solidFill>
                      </wps:spPr>
                      <wps:bodyPr/>
                    </wps:wsp>
                  </a:graphicData>
                </a:graphic>
              </wp:anchor>
            </w:drawing>
          </mc:Choice>
          <mc:Fallback>
            <w:pict>
              <v:rect id="Shape 137" o:spid="_x0000_s1162" style="position:absolute;margin-left:389.35pt;margin-top:-27.4499pt;width:64.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3E3" stroked="f"/>
            </w:pict>
          </mc:Fallback>
        </mc:AlternateContent>
        <mc:AlternateContent>
          <mc:Choice Requires="wps">
            <w:drawing>
              <wp:anchor simplePos="0" relativeHeight="251657728" behindDoc="1" locked="0" layoutInCell="0" allowOverlap="1">
                <wp:simplePos x="0" y="0"/>
                <wp:positionH relativeFrom="column">
                  <wp:posOffset>5764530</wp:posOffset>
                </wp:positionH>
                <wp:positionV relativeFrom="paragraph">
                  <wp:posOffset>-193040</wp:posOffset>
                </wp:positionV>
                <wp:extent cx="13589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pt,-15.1999pt" to="464.6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-26670</wp:posOffset>
                </wp:positionV>
                <wp:extent cx="685927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5">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999pt" to="540.3pt,-2.0999pt" o:allowincell="f" strokecolor="#FFFFFF" strokeweight="2.5201pt"/>
            </w:pict>
          </mc:Fallback>
        </mc:AlternateContent>
      </w:r>
    </w:p>
    <w:p>
      <w:pPr>
        <w:spacing w:after="0" w:line="192"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valuation allowance increased by $15.1 million and $19.4 million in 2025 and 2024, respectively, due primarily to continuing operations.</w:t>
      </w:r>
    </w:p>
    <w:p>
      <w:pPr>
        <w:spacing w:after="0" w:line="15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Company’s net operating loss carryforwards of $374.4 million are federal, of which $74.1 million expires between 2029 and 2037 and $300.3 million carries forward indefinitely. As of December 31, 2025, the Company had federal research and development tax credits of approximately $22.4 million, which expire in the years 2026 through 2045.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101 / 117</w:t>
      </w:r>
    </w:p>
    <w:p>
      <w:pPr>
        <w:sectPr>
          <w:pgSz w:w="12240" w:h="15840" w:orient="portrait"/>
          <w:cols w:equalWidth="0" w:num="1">
            <w:col w:w="10800"/>
          </w:cols>
          <w:pgMar w:left="720" w:top="1060" w:right="720" w:bottom="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20"/>
          <w:szCs w:val="20"/>
          <w:i w:val="1"/>
          <w:iCs w:val="1"/>
          <w:color w:val="auto"/>
        </w:rPr>
        <w:t>Unrecognized tax benefits</w:t>
      </w:r>
    </w:p>
    <w:p>
      <w:pPr>
        <w:spacing w:after="0" w:line="226"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As of December 31, 2025, 2024 and 2023, the Company has unrecognized tax benefits related to tax credits of $9.0 million, $9.2 million and $8.4 million, respectively. None of the unrecognized tax benefits as of December 31, 2025, if recognized, would impact the effective tax rate due to the valuation allowance and no interest or penalties have been recognized. A reconciliation of the beginning and ending balance of unrecognized tax benefits is as follows (in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95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2"/>
        </w:trPr>
        <w:tc>
          <w:tcPr>
            <w:tcW w:w="5950" w:type="dxa"/>
            <w:vAlign w:val="bottom"/>
            <w:tcBorders>
              <w:bottom w:val="single" w:sz="8" w:color="E3E3E3"/>
            </w:tcBorders>
          </w:tcPr>
          <w:p>
            <w:pPr>
              <w:spacing w:after="0"/>
              <w:rPr>
                <w:sz w:val="20"/>
                <w:szCs w:val="20"/>
                <w:color w:val="auto"/>
              </w:rPr>
            </w:pPr>
          </w:p>
        </w:tc>
        <w:tc>
          <w:tcPr>
            <w:tcW w:w="9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00" w:type="dxa"/>
            <w:vAlign w:val="bottom"/>
            <w:tcBorders>
              <w:bottom w:val="single" w:sz="8" w:color="E3E3E3"/>
            </w:tcBorders>
          </w:tcPr>
          <w:p>
            <w:pPr>
              <w:spacing w:after="0"/>
              <w:rPr>
                <w:sz w:val="20"/>
                <w:szCs w:val="20"/>
                <w:color w:val="auto"/>
              </w:rPr>
            </w:pPr>
          </w:p>
        </w:tc>
      </w:tr>
      <w:tr>
        <w:trPr>
          <w:trHeight w:val="230"/>
        </w:trPr>
        <w:tc>
          <w:tcPr>
            <w:tcW w:w="595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9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920" w:type="dxa"/>
            <w:vAlign w:val="bottom"/>
            <w:shd w:val="clear" w:color="auto" w:fill="E3E3E3"/>
          </w:tcPr>
          <w:p>
            <w:pPr>
              <w:jc w:val="right"/>
              <w:ind w:right="72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9,242</w:t>
            </w:r>
          </w:p>
        </w:tc>
        <w:tc>
          <w:tcPr>
            <w:tcW w:w="2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8,413</w:t>
            </w:r>
          </w:p>
        </w:tc>
        <w:tc>
          <w:tcPr>
            <w:tcW w:w="200" w:type="dxa"/>
            <w:vAlign w:val="bottom"/>
            <w:shd w:val="clear" w:color="auto" w:fill="E3E3E3"/>
          </w:tcPr>
          <w:p>
            <w:pPr>
              <w:spacing w:after="0"/>
              <w:rPr>
                <w:sz w:val="19"/>
                <w:szCs w:val="19"/>
                <w:color w:val="auto"/>
              </w:rPr>
            </w:pPr>
          </w:p>
        </w:tc>
        <w:tc>
          <w:tcPr>
            <w:tcW w:w="20" w:type="dxa"/>
            <w:vAlign w:val="bottom"/>
            <w:shd w:val="clear" w:color="auto" w:fill="E3E3E3"/>
          </w:tcPr>
          <w:p>
            <w:pPr>
              <w:spacing w:after="0"/>
              <w:rPr>
                <w:sz w:val="19"/>
                <w:szCs w:val="19"/>
                <w:color w:val="auto"/>
              </w:rPr>
            </w:pPr>
          </w:p>
        </w:tc>
        <w:tc>
          <w:tcPr>
            <w:tcW w:w="340" w:type="dxa"/>
            <w:vAlign w:val="bottom"/>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6,496</w:t>
            </w:r>
          </w:p>
        </w:tc>
        <w:tc>
          <w:tcPr>
            <w:tcW w:w="100" w:type="dxa"/>
            <w:vAlign w:val="bottom"/>
            <w:shd w:val="clear" w:color="auto" w:fill="E3E3E3"/>
          </w:tcPr>
          <w:p>
            <w:pPr>
              <w:spacing w:after="0"/>
              <w:rPr>
                <w:sz w:val="19"/>
                <w:szCs w:val="19"/>
                <w:color w:val="auto"/>
              </w:rPr>
            </w:pPr>
          </w:p>
        </w:tc>
      </w:tr>
      <w:tr>
        <w:trPr>
          <w:trHeight w:val="240"/>
        </w:trPr>
        <w:tc>
          <w:tcPr>
            <w:tcW w:w="6060" w:type="dxa"/>
            <w:vAlign w:val="bottom"/>
            <w:tcBorders>
              <w:bottom w:val="single" w:sz="8" w:color="E3E3E3"/>
            </w:tcBorders>
            <w:gridSpan w:val="3"/>
          </w:tcPr>
          <w:p>
            <w:pPr>
              <w:spacing w:after="0"/>
              <w:rPr>
                <w:sz w:val="20"/>
                <w:szCs w:val="20"/>
                <w:color w:val="auto"/>
              </w:rPr>
            </w:pPr>
            <w:r>
              <w:rPr>
                <w:rFonts w:ascii="Times New Roman" w:cs="Times New Roman" w:eastAsia="Times New Roman" w:hAnsi="Times New Roman"/>
                <w:sz w:val="20"/>
                <w:szCs w:val="20"/>
                <w:color w:val="auto"/>
              </w:rPr>
              <w:t>Expired research and development tax credits</w:t>
            </w:r>
          </w:p>
        </w:tc>
        <w:tc>
          <w:tcPr>
            <w:tcW w:w="920" w:type="dxa"/>
            <w:vAlign w:val="bottom"/>
            <w:tcBorders>
              <w:bottom w:val="single" w:sz="8" w:color="E3E3E3"/>
            </w:tcBorders>
          </w:tcPr>
          <w:p>
            <w:pPr>
              <w:spacing w:after="0"/>
              <w:rPr>
                <w:sz w:val="20"/>
                <w:szCs w:val="20"/>
                <w:color w:val="auto"/>
              </w:rPr>
            </w:pPr>
          </w:p>
        </w:tc>
        <w:tc>
          <w:tcPr>
            <w:tcW w:w="680" w:type="dxa"/>
            <w:vAlign w:val="bottom"/>
            <w:tcBorders>
              <w:bottom w:val="single" w:sz="8" w:color="E3E3E3"/>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(614)</w:t>
            </w: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(665)</w:t>
            </w:r>
          </w:p>
        </w:tc>
        <w:tc>
          <w:tcPr>
            <w:tcW w:w="2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340" w:type="dxa"/>
            <w:vAlign w:val="bottom"/>
            <w:tcBorders>
              <w:bottom w:val="single" w:sz="8" w:color="E3E3E3"/>
            </w:tcBorders>
          </w:tcPr>
          <w:p>
            <w:pPr>
              <w:spacing w:after="0"/>
              <w:rPr>
                <w:sz w:val="20"/>
                <w:szCs w:val="20"/>
                <w:color w:val="auto"/>
              </w:rPr>
            </w:pPr>
          </w:p>
        </w:tc>
        <w:tc>
          <w:tcPr>
            <w:tcW w:w="1160" w:type="dxa"/>
            <w:vAlign w:val="bottom"/>
            <w:tcBorders>
              <w:bottom w:val="single" w:sz="8" w:color="E3E3E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w:t>
            </w:r>
          </w:p>
        </w:tc>
      </w:tr>
      <w:tr>
        <w:trPr>
          <w:trHeight w:val="235"/>
        </w:trPr>
        <w:tc>
          <w:tcPr>
            <w:tcW w:w="5950" w:type="dxa"/>
            <w:vAlign w:val="bottom"/>
            <w:tcBorders>
              <w:bottom w:val="single" w:sz="8" w:color="E3E3E3"/>
            </w:tcBorders>
            <w:shd w:val="clear" w:color="auto" w:fill="E3E3E3"/>
          </w:tcPr>
          <w:p>
            <w:pPr>
              <w:spacing w:after="0" w:line="215" w:lineRule="exact"/>
              <w:rPr>
                <w:sz w:val="20"/>
                <w:szCs w:val="20"/>
                <w:color w:val="auto"/>
              </w:rPr>
            </w:pPr>
            <w:r>
              <w:rPr>
                <w:rFonts w:ascii="Times New Roman" w:cs="Times New Roman" w:eastAsia="Times New Roman" w:hAnsi="Times New Roman"/>
                <w:sz w:val="20"/>
                <w:szCs w:val="20"/>
                <w:color w:val="auto"/>
              </w:rPr>
              <w:t>Additions based on tax positions related to the current year</w:t>
            </w:r>
          </w:p>
        </w:tc>
        <w:tc>
          <w:tcPr>
            <w:tcW w:w="9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920" w:type="dxa"/>
            <w:vAlign w:val="bottom"/>
            <w:tcBorders>
              <w:bottom w:val="single" w:sz="8" w:color="E3E3E3"/>
            </w:tcBorders>
            <w:shd w:val="clear" w:color="auto" w:fill="E3E3E3"/>
          </w:tcPr>
          <w:p>
            <w:pPr>
              <w:spacing w:after="0"/>
              <w:rPr>
                <w:sz w:val="20"/>
                <w:szCs w:val="20"/>
                <w:color w:val="auto"/>
              </w:rPr>
            </w:pPr>
          </w:p>
        </w:tc>
        <w:tc>
          <w:tcPr>
            <w:tcW w:w="48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392</w:t>
            </w:r>
          </w:p>
        </w:tc>
        <w:tc>
          <w:tcPr>
            <w:tcW w:w="2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1,494</w:t>
            </w:r>
          </w:p>
        </w:tc>
        <w:tc>
          <w:tcPr>
            <w:tcW w:w="2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340" w:type="dxa"/>
            <w:vAlign w:val="bottom"/>
            <w:tcBorders>
              <w:bottom w:val="single" w:sz="8" w:color="E3E3E3"/>
            </w:tcBorders>
            <w:shd w:val="clear" w:color="auto" w:fill="E3E3E3"/>
          </w:tcPr>
          <w:p>
            <w:pPr>
              <w:spacing w:after="0"/>
              <w:rPr>
                <w:sz w:val="20"/>
                <w:szCs w:val="20"/>
                <w:color w:val="auto"/>
              </w:rPr>
            </w:pPr>
          </w:p>
        </w:tc>
        <w:tc>
          <w:tcPr>
            <w:tcW w:w="1060" w:type="dxa"/>
            <w:vAlign w:val="bottom"/>
            <w:tcBorders>
              <w:bottom w:val="single" w:sz="8" w:color="E3E3E3"/>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1,967</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19"/>
        </w:trPr>
        <w:tc>
          <w:tcPr>
            <w:tcW w:w="595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Ending balance</w:t>
            </w:r>
          </w:p>
        </w:tc>
        <w:tc>
          <w:tcPr>
            <w:tcW w:w="9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ind w:right="72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9,020</w:t>
            </w:r>
          </w:p>
        </w:tc>
        <w:tc>
          <w:tcPr>
            <w:tcW w:w="20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9,242</w:t>
            </w:r>
          </w:p>
        </w:tc>
        <w:tc>
          <w:tcPr>
            <w:tcW w:w="20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340" w:type="dxa"/>
            <w:vAlign w:val="bottom"/>
            <w:tcBorders>
              <w:top w:val="single" w:sz="8" w:color="auto"/>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8,413</w:t>
            </w:r>
          </w:p>
        </w:tc>
        <w:tc>
          <w:tcPr>
            <w:tcW w:w="100" w:type="dxa"/>
            <w:vAlign w:val="bottom"/>
          </w:tcPr>
          <w:p>
            <w:pPr>
              <w:spacing w:after="0"/>
              <w:rPr>
                <w:sz w:val="19"/>
                <w:szCs w:val="19"/>
                <w:color w:val="auto"/>
              </w:rPr>
            </w:pPr>
          </w:p>
        </w:tc>
      </w:tr>
      <w:tr>
        <w:trPr>
          <w:trHeight w:val="20"/>
        </w:trPr>
        <w:tc>
          <w:tcPr>
            <w:tcW w:w="59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595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4748530</wp:posOffset>
                </wp:positionH>
                <wp:positionV relativeFrom="paragraph">
                  <wp:posOffset>-193040</wp:posOffset>
                </wp:positionV>
                <wp:extent cx="13525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9pt,-15.1999pt" to="384.55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5775960</wp:posOffset>
                </wp:positionH>
                <wp:positionV relativeFrom="paragraph">
                  <wp:posOffset>-193040</wp:posOffset>
                </wp:positionV>
                <wp:extent cx="13716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4.8pt,-15.1999pt" to="465.6pt,-15.1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-26670</wp:posOffset>
                </wp:positionV>
                <wp:extent cx="685927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pt,-2.0999pt" to="541.3pt,-2.0999pt" o:allowincell="f" strokecolor="#FFFFFF" strokeweight="2.52pt"/>
            </w:pict>
          </mc:Fallback>
        </mc:AlternateContent>
      </w:r>
    </w:p>
    <w:p>
      <w:pPr>
        <w:spacing w:after="0" w:line="190" w:lineRule="exact"/>
        <w:rPr>
          <w:sz w:val="20"/>
          <w:szCs w:val="20"/>
          <w:color w:val="auto"/>
        </w:rPr>
      </w:pPr>
    </w:p>
    <w:p>
      <w:pPr>
        <w:jc w:val="both"/>
        <w:ind w:left="20" w:right="20" w:firstLine="360"/>
        <w:spacing w:after="0" w:line="277" w:lineRule="auto"/>
        <w:rPr>
          <w:sz w:val="20"/>
          <w:szCs w:val="20"/>
          <w:color w:val="auto"/>
        </w:rPr>
      </w:pPr>
      <w:r>
        <w:rPr>
          <w:rFonts w:ascii="Times New Roman" w:cs="Times New Roman" w:eastAsia="Times New Roman" w:hAnsi="Times New Roman"/>
          <w:sz w:val="20"/>
          <w:szCs w:val="20"/>
          <w:color w:val="auto"/>
        </w:rPr>
        <w:t>As of December 31, 2025, there were no unrecognized tax benefits that we expect would change significantly over the next 12 months.</w:t>
      </w:r>
    </w:p>
    <w:p>
      <w:pPr>
        <w:spacing w:after="0" w:line="160"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The Company files U.S. and Texas income tax returns. In the United States, the statute of limitations with respect to the federal income tax returns for tax years after 2021 are open to audit; however, since the Company has net operating losses, the taxing authority has the ability to review tax returns prior to the 2022 tax year and make adjustments to these net operating loss carryforwards. We are not under audit in any taxing jurisdiction at this time.</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10. Commitments</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Other Commitments</w:t>
      </w:r>
    </w:p>
    <w:p>
      <w:pPr>
        <w:spacing w:after="0" w:line="226"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 Company conducts its product research and development programs through a combination of internal and collaborative programs that include, among others, arrangements with universities, contract research organizations and clinical research sites. The Company has contractual arrangements with these organizations that are cancelable. The Company’s obligations under these contracts are largely based on services performed. The Company also had non-cancellable commitments for the manufacture of simufilam's active pharmaceutical ingredient totaling approximately $ 0.8 million recorded in prepaid expenses and other current assets at December 31, 2025 compared to $1.2 million at December 31, 2024. The Company is dependent on contract development and manufacturing organizations for the manufacture of all our materials for clinical studies.</w:t>
      </w:r>
    </w:p>
    <w:p>
      <w:pPr>
        <w:spacing w:after="0" w:line="191"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February 26, 2025, the Company entered into a License Agreement (the “License Agreement”) with Yale University (“Yale”) pursuant to which the Company was granted exclusive worldwide rights, with rights to sublicense, to Yale’s interest in certain patent and other intellectual property rights that could be useful or necessary to the development and commercialization of simufilam for the treatment of Tuberous Sclerosis Complex (TSC)-related epilepsy and other potential indications. Pursuant to the License Agreement, the Company has agreed to use reasonable commercial efforts to implement a plan that it has designed for such development and commercialization. In exchange for the rights acquired pursuant to the License Agreement, the Company paid Yale (i) a nominal upfront license fee, and agreed to pay (ii) payments upon the achievement of specified clinical, regulatory and commercial milestones, totaling up to $ 4.5 million and (iii) upon transfer to a third party in connection with a regulatory priority review voucher, if issued, a low-to-mid double digit percentage of any consideration received for such transfer. The Company also agreed to pay Yale tiered royalties, ranging from a low- to mid- single digit percentage, on aggregate net sales of licensed products, subject to tiered minimum annual royalty payments ranging from the low- to mid- hundreds of thousands of dollars. There were no License Agreement payments made, other than the nominal upfront license fee, during the year ended December 31, 2025.</w:t>
      </w:r>
    </w:p>
    <w:p>
      <w:pPr>
        <w:spacing w:after="0" w:line="197" w:lineRule="exact"/>
        <w:rPr>
          <w:sz w:val="20"/>
          <w:szCs w:val="20"/>
          <w:color w:val="auto"/>
        </w:rPr>
      </w:pPr>
    </w:p>
    <w:p>
      <w:pPr>
        <w:jc w:val="both"/>
        <w:ind w:firstLine="180"/>
        <w:spacing w:after="0" w:line="257" w:lineRule="auto"/>
        <w:rPr>
          <w:sz w:val="20"/>
          <w:szCs w:val="20"/>
          <w:color w:val="auto"/>
        </w:rPr>
      </w:pPr>
      <w:r>
        <w:rPr>
          <w:rFonts w:ascii="Times New Roman" w:cs="Times New Roman" w:eastAsia="Times New Roman" w:hAnsi="Times New Roman"/>
          <w:sz w:val="20"/>
          <w:szCs w:val="20"/>
          <w:color w:val="auto"/>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102 / 117</w:t>
      </w:r>
    </w:p>
    <w:p>
      <w:pPr>
        <w:sectPr>
          <w:pgSz w:w="12240" w:h="15840" w:orient="portrait"/>
          <w:cols w:equalWidth="0" w:num="1">
            <w:col w:w="10820"/>
          </w:cols>
          <w:pgMar w:left="700" w:top="790" w:right="720" w:bottom="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20"/>
          <w:szCs w:val="20"/>
          <w:b w:val="1"/>
          <w:bCs w:val="1"/>
          <w:color w:val="auto"/>
        </w:rPr>
        <w:t>Note 11. 2020 Cash Incentive Bonus Plan</w:t>
      </w:r>
    </w:p>
    <w:p>
      <w:pPr>
        <w:spacing w:after="0" w:line="232" w:lineRule="exact"/>
        <w:rPr>
          <w:sz w:val="20"/>
          <w:szCs w:val="20"/>
          <w:color w:val="auto"/>
        </w:rPr>
      </w:pPr>
    </w:p>
    <w:p>
      <w:pPr>
        <w:jc w:val="both"/>
        <w:ind w:left="20" w:firstLine="360"/>
        <w:spacing w:after="0" w:line="244" w:lineRule="auto"/>
        <w:rPr>
          <w:sz w:val="20"/>
          <w:szCs w:val="20"/>
          <w:color w:val="auto"/>
        </w:rPr>
      </w:pPr>
      <w:r>
        <w:rPr>
          <w:rFonts w:ascii="Times New Roman" w:cs="Times New Roman" w:eastAsia="Times New Roman" w:hAnsi="Times New Roman"/>
          <w:sz w:val="20"/>
          <w:szCs w:val="20"/>
          <w:color w:val="auto"/>
        </w:rPr>
        <w:t>In August 2020, the Board approved the CIB Plan. The CIB Plan was subsequently amended, as described below on March 6, 2025. The CIB Plan was established as an “at-risk” cash bonus program that would reward CIB Plan participants with additional cash compensation in lockstep with significant increases in the Company’s market valuation (as measured by market capitalization or potential merger consideration). The CIB Plan is considered “at-risk” because CIB Plan participants will not receive a cash bonus unless the Company’s market valuation increases significantly and certain other conditions specified in the CIB Plan are met. Specifically, CIB Plan participants will not be paid any cash bonuses unless (1) the Company completes a merger or acquisition transaction that constitutes a sale of ownership of the Company or its assets (a Merger Transaction) or (2) the Compensation Committee of the Board (the “Compensation Committee”) determines the Company has sufficient cash on hand, as defined in the CIB Plan. CIB Plan participants will be paid all earned cash bonuses allocated under the CIB Plan in the event of a Merger Transaction.</w:t>
      </w:r>
    </w:p>
    <w:p>
      <w:pPr>
        <w:spacing w:after="0" w:line="198" w:lineRule="exact"/>
        <w:rPr>
          <w:sz w:val="20"/>
          <w:szCs w:val="20"/>
          <w:color w:val="auto"/>
        </w:rPr>
      </w:pPr>
    </w:p>
    <w:p>
      <w:pPr>
        <w:jc w:val="both"/>
        <w:ind w:firstLine="360"/>
        <w:spacing w:after="0" w:line="274" w:lineRule="auto"/>
        <w:rPr>
          <w:sz w:val="20"/>
          <w:szCs w:val="20"/>
          <w:color w:val="auto"/>
        </w:rPr>
      </w:pPr>
      <w:r>
        <w:rPr>
          <w:rFonts w:ascii="Times New Roman" w:cs="Times New Roman" w:eastAsia="Times New Roman" w:hAnsi="Times New Roman"/>
          <w:sz w:val="20"/>
          <w:szCs w:val="20"/>
          <w:color w:val="auto"/>
        </w:rPr>
        <w:t>Because of the inherent discretion and uncertainty regarding the CIB Plan requirements, the Company has concluded that a CIB Plan grant date has not occurred as of December 31, 2025.</w:t>
      </w:r>
    </w:p>
    <w:p>
      <w:pPr>
        <w:spacing w:after="0" w:line="164" w:lineRule="exact"/>
        <w:rPr>
          <w:sz w:val="20"/>
          <w:szCs w:val="20"/>
          <w:color w:val="auto"/>
        </w:rPr>
      </w:pPr>
    </w:p>
    <w:p>
      <w:pPr>
        <w:ind w:right="140" w:firstLine="360"/>
        <w:spacing w:after="0" w:line="252" w:lineRule="auto"/>
        <w:rPr>
          <w:sz w:val="20"/>
          <w:szCs w:val="20"/>
          <w:color w:val="auto"/>
        </w:rPr>
      </w:pPr>
      <w:r>
        <w:rPr>
          <w:rFonts w:ascii="Times New Roman" w:cs="Times New Roman" w:eastAsia="Times New Roman" w:hAnsi="Times New Roman"/>
          <w:sz w:val="20"/>
          <w:szCs w:val="20"/>
          <w:color w:val="auto"/>
        </w:rPr>
        <w:t>The Company’s market valuation for purposes of the CIB Plan is determined based on either (1) the closing price of one share of the Company's common stock on the Nasdaq Capital Market multiplied by the total issued and outstanding shares and options to purchase shares of the Company, or (2) the aggregate consideration payable to security holders of the Company in a Merger Transaction. This constitutes a market condition under applicable accounting guidance.</w:t>
      </w:r>
    </w:p>
    <w:p>
      <w:pPr>
        <w:spacing w:after="0" w:line="184" w:lineRule="exact"/>
        <w:rPr>
          <w:sz w:val="20"/>
          <w:szCs w:val="20"/>
          <w:color w:val="auto"/>
        </w:rPr>
      </w:pPr>
    </w:p>
    <w:p>
      <w:pPr>
        <w:jc w:val="both"/>
        <w:ind w:left="20" w:firstLine="360"/>
        <w:spacing w:after="0" w:line="246" w:lineRule="auto"/>
        <w:rPr>
          <w:sz w:val="20"/>
          <w:szCs w:val="20"/>
          <w:color w:val="auto"/>
        </w:rPr>
      </w:pPr>
      <w:r>
        <w:rPr>
          <w:rFonts w:ascii="Times New Roman" w:cs="Times New Roman" w:eastAsia="Times New Roman" w:hAnsi="Times New Roman"/>
          <w:sz w:val="20"/>
          <w:szCs w:val="20"/>
          <w:color w:val="auto"/>
        </w:rPr>
        <w:t>The CIB Plan (as amended March 6, 2025) triggers a potential cash bonus each time the Company’s market valuation increases significantly, up to a maximum $5 billion in market capitalization (or up to a maximum $8 billion in merger consideration). The CIB Plan specifies incremental amounts between $200 million and $5 billion in market capitalization (or $8 billion in merger consideration) (each increment, a “Valuation Milestone”). Each Valuation Milestone triggers a potential cash bonus award in a pre-set amount defined in the CIB Plan. Each Valuation Milestone based on market capitalization must be achieved and maintained for no less than 20 consecutive trading days for CIB Plan participants to be eligible for a potential cash bonus award (the “Market Capitalization Conditions”).</w:t>
      </w:r>
    </w:p>
    <w:p>
      <w:pPr>
        <w:spacing w:after="0" w:line="191" w:lineRule="exact"/>
        <w:rPr>
          <w:sz w:val="20"/>
          <w:szCs w:val="20"/>
          <w:color w:val="auto"/>
        </w:rPr>
      </w:pPr>
    </w:p>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Payment of cash bonuses is deferred until such time as (1) the Company completes a Merger Transaction, or (2) the Compensation Committee determines the Company has sufficient cash on hand to render payment (each, a “Performance Condition”), neither of which may ever occur. Accordingly, CIB Plan participants may never be paid a cash bonus that is awarded under the CIB Plan, even if the Company’s market capitalization increases significantly.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CIB Plan is accounted for as a liability award. The fair value of each Valuation Milestone award will</w:t>
      </w:r>
    </w:p>
    <w:p>
      <w:pPr>
        <w:spacing w:after="0" w:line="29" w:lineRule="exact"/>
        <w:rPr>
          <w:sz w:val="20"/>
          <w:szCs w:val="20"/>
          <w:color w:val="auto"/>
        </w:rPr>
      </w:pPr>
    </w:p>
    <w:p>
      <w:pPr>
        <w:jc w:val="both"/>
        <w:ind w:right="100"/>
        <w:spacing w:after="0" w:line="243" w:lineRule="auto"/>
        <w:rPr>
          <w:sz w:val="20"/>
          <w:szCs w:val="20"/>
          <w:color w:val="auto"/>
        </w:rPr>
      </w:pPr>
      <w:r>
        <w:rPr>
          <w:rFonts w:ascii="Times New Roman" w:cs="Times New Roman" w:eastAsia="Times New Roman" w:hAnsi="Times New Roman"/>
          <w:sz w:val="20"/>
          <w:szCs w:val="20"/>
          <w:color w:val="auto"/>
        </w:rPr>
        <w:t>be determined once a grant date occurs and will be remeasured each reporting period. Compensation expense associated with the CIB Plan will be recognized over the expected achievement period for each of the Valuation Milestones, when a Performance Condition is considered probable of being met.</w:t>
      </w:r>
    </w:p>
    <w:p>
      <w:pPr>
        <w:spacing w:after="0" w:line="193" w:lineRule="exact"/>
        <w:rPr>
          <w:sz w:val="20"/>
          <w:szCs w:val="20"/>
          <w:color w:val="auto"/>
        </w:rPr>
      </w:pPr>
    </w:p>
    <w:p>
      <w:pPr>
        <w:jc w:val="both"/>
        <w:ind w:left="20" w:firstLine="360"/>
        <w:spacing w:after="0" w:line="251" w:lineRule="auto"/>
        <w:rPr>
          <w:sz w:val="20"/>
          <w:szCs w:val="20"/>
          <w:color w:val="auto"/>
        </w:rPr>
      </w:pPr>
      <w:r>
        <w:rPr>
          <w:rFonts w:ascii="Times New Roman" w:cs="Times New Roman" w:eastAsia="Times New Roman" w:hAnsi="Times New Roman"/>
          <w:sz w:val="20"/>
          <w:szCs w:val="20"/>
          <w:color w:val="auto"/>
        </w:rPr>
        <w:t>In October 2020, the Company achieved the first Valuation Milestone based on market capitalization. Subsequently in 2020, the Compensation Committee approved a potential cash bonus award of $6.5 million in total for all CIB Plan participants (after taking into account a March 2023 CIB Plan amendment), subject to future satisfaction of a Performance Condition. There is no continuing service requirement for CIB Plan participants once the Compensation Committee approves a cash bonus award.</w:t>
      </w:r>
    </w:p>
    <w:p>
      <w:pPr>
        <w:spacing w:after="0" w:line="18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2021, the Company achieved 11 additional Valuation Milestones based on market capitalization. The achievement of these 11 milestones in 2021 triggered a non-discretionary potential Company obligation to the Company’s Chairman, President and CEO (assuming such person holds all three such offices) of $74.3 million (after taking into account a March 2023 CIB Plan amendment) and contingent upon future satisfaction of a Performance Condition. However, no compensation expense has been recorded and no payments have been made since no grant date has occurred and no Performance Conditions are considered probable of being met.</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 Valuation Milestones were achieved during the years ended December 31, 2025, 2024, and 2023.</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103 / 117</w:t>
      </w:r>
    </w:p>
    <w:p>
      <w:pPr>
        <w:sectPr>
          <w:pgSz w:w="12240" w:h="15840" w:orient="portrait"/>
          <w:cols w:equalWidth="0" w:num="1">
            <w:col w:w="10820"/>
          </w:cols>
          <w:pgMar w:left="700" w:top="1060" w:right="720" w:bottom="0" w:gutter="0" w:footer="0" w:header="0"/>
        </w:sectPr>
      </w:pPr>
    </w:p>
    <w:bookmarkStart w:id="103" w:name="page104"/>
    <w:bookmarkEnd w:id="103"/>
    <w:p>
      <w:pPr>
        <w:jc w:val="both"/>
        <w:ind w:left="20" w:firstLine="360"/>
        <w:spacing w:after="0" w:line="247" w:lineRule="auto"/>
        <w:rPr>
          <w:sz w:val="20"/>
          <w:szCs w:val="20"/>
          <w:color w:val="auto"/>
        </w:rPr>
      </w:pPr>
      <w:r>
        <w:rPr>
          <w:rFonts w:ascii="Times New Roman" w:cs="Times New Roman" w:eastAsia="Times New Roman" w:hAnsi="Times New Roman"/>
          <w:sz w:val="20"/>
          <w:szCs w:val="20"/>
          <w:color w:val="auto"/>
        </w:rPr>
        <w:t>On February 13, 2025, the Compensation Committee concluded that no discretionary cash bonus amounts would be awarded for the 11 Valuation Milestones achieved in 2021 nor for any remaining CIB Plan Valuation Milestones which have not been achieved. Thus, the only CIB Plan participant who could be eligible for cash bonus amounts based on future Valuation Milestone achievement is the Chairman, President and CEO (assuming such person holds all three such offices), providing that, other than in connection with a Merger Transaction, no bonus payments will be made to such person unless and until the U.S. Food and Drug Administration has approved simufilam for any indication.</w:t>
      </w:r>
    </w:p>
    <w:p>
      <w:pPr>
        <w:spacing w:after="0" w:line="188"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color w:val="auto"/>
        </w:rPr>
        <w:t>As discussed in Note 12, on January 24, 2025, the Delaware Court of Chancery entered a Final Order and Judgment approving the Stipulation and dismissing an action related to the CIB Plan with prejudice. The Final Order and Judgment required the Company to further amend the CIB Plan, as provided in the Stipulation, which was completed on March 6, 2025. The March 6, 2025 Amendment specifies that upon the occurrence of a Merger Transaction, the Chairman, President and CEO (assuming such person holds all three such offices) will not be entitled to any payments in respect of any Market Capitalization Conditions, but will instead be entitled to receive a bonus payment based upon the Merger Transaction only. Cash bonuses to the Chairman, President and CEO (assuming such person holds all three offices) are not subject to discretionary allocation under the CIB Plan. No person currently holds all three offices of Chairman, President and CEO.</w:t>
      </w:r>
    </w:p>
    <w:p>
      <w:pPr>
        <w:spacing w:after="0" w:line="193" w:lineRule="exact"/>
        <w:rPr>
          <w:sz w:val="20"/>
          <w:szCs w:val="20"/>
          <w:color w:val="auto"/>
        </w:rPr>
      </w:pPr>
    </w:p>
    <w:p>
      <w:pPr>
        <w:ind w:left="20" w:right="120" w:firstLine="360"/>
        <w:spacing w:after="0" w:line="277" w:lineRule="auto"/>
        <w:rPr>
          <w:sz w:val="20"/>
          <w:szCs w:val="20"/>
          <w:color w:val="auto"/>
        </w:rPr>
      </w:pPr>
      <w:r>
        <w:rPr>
          <w:rFonts w:ascii="Times New Roman" w:cs="Times New Roman" w:eastAsia="Times New Roman" w:hAnsi="Times New Roman"/>
          <w:sz w:val="20"/>
          <w:szCs w:val="20"/>
          <w:color w:val="auto"/>
        </w:rPr>
        <w:t>No actual cash payments were authorized or made to participants under the CIB Plan through December 31, 2025 and the date of filing of this Annual Report on Form 10-K.</w:t>
      </w: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12. Contingencies</w:t>
      </w:r>
    </w:p>
    <w:p>
      <w:pPr>
        <w:spacing w:after="0" w:line="235" w:lineRule="exact"/>
        <w:rPr>
          <w:sz w:val="20"/>
          <w:szCs w:val="20"/>
          <w:color w:val="auto"/>
        </w:rPr>
      </w:pPr>
    </w:p>
    <w:p>
      <w:pPr>
        <w:jc w:val="both"/>
        <w:ind w:left="40" w:firstLine="360"/>
        <w:spacing w:after="0" w:line="245" w:lineRule="auto"/>
        <w:rPr>
          <w:sz w:val="20"/>
          <w:szCs w:val="20"/>
          <w:color w:val="auto"/>
        </w:rPr>
      </w:pPr>
      <w:r>
        <w:rPr>
          <w:rFonts w:ascii="Times New Roman" w:cs="Times New Roman" w:eastAsia="Times New Roman" w:hAnsi="Times New Roman"/>
          <w:sz w:val="20"/>
          <w:szCs w:val="20"/>
          <w:color w:val="auto"/>
        </w:rPr>
        <w:t>The Company is, and from time to time, the Company may become, involved in litigation or other legal proceedings and claims, including U.S. government inquiries, investigations and Citizen Petitions submitted to the U.S. Food and Drug Administration (“FDA”). In addition, the Company has received, and from time to time may receive, inquiries from government authorities relating to matters arising from the ordinary course of business. The outcome of these proceedings is inherently uncertain. Regardless of outcome, legal proceedings can have an adverse impact on the Company because of defense and settlement costs, diversion of management resources, and other factors. At this time, no assessment can be made as to their likely outcome or whether the outcome will be material to the Company other than as disclosed below. The Company believes that its total provisions for legal matters are adequate based upon currently available information.</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Government Investigations</w:t>
      </w:r>
    </w:p>
    <w:p>
      <w:pPr>
        <w:spacing w:after="0" w:line="229"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Beginning in August 2021, the Company received subpoenas and other requests for documents and information from the Department of Justice Fraud Section (“DOJ”), document requests from the SEC, and a Civil Investigative Demand from the Civil Division of the Department of Justice. These requests sought corporate information and documents concerning the research and development of simufilam and/or SavaDx, and the Company cooperated fully with each.</w:t>
      </w:r>
    </w:p>
    <w:p>
      <w:pPr>
        <w:spacing w:after="0" w:line="184" w:lineRule="exact"/>
        <w:rPr>
          <w:sz w:val="20"/>
          <w:szCs w:val="20"/>
          <w:color w:val="auto"/>
        </w:rPr>
      </w:pPr>
    </w:p>
    <w:p>
      <w:pPr>
        <w:jc w:val="both"/>
        <w:ind w:left="20" w:firstLine="360"/>
        <w:spacing w:after="0" w:line="242" w:lineRule="auto"/>
        <w:rPr>
          <w:sz w:val="20"/>
          <w:szCs w:val="20"/>
          <w:color w:val="auto"/>
        </w:rPr>
      </w:pPr>
      <w:r>
        <w:rPr>
          <w:rFonts w:ascii="Times New Roman" w:cs="Times New Roman" w:eastAsia="Times New Roman" w:hAnsi="Times New Roman"/>
          <w:sz w:val="20"/>
          <w:szCs w:val="20"/>
          <w:color w:val="auto"/>
        </w:rPr>
        <w:t>On September 26, 2024, the Company announced that it had reached a settlement with the SEC resolving the SEC investigation of the Company’s disclosures regarding its Phase 2b clinical trial of simufilam for the treatment of Alzheimer’s disease (the “Phase 2b Study”) and related matters. The SEC also agreed to a settlement with two former senior employees of the Company. Pursuant to these settlements, the U.S. District Court for the Western District of Texas (the “Texas District Court”) entered final consent judgment on October 18, 2024, on a complaint filed by the SEC against the Company and its two former senior employees. The Company has neither admitted nor denied the allegations of the complaint. The SEC’s complaint alleged that certain disclosures by the Company regarding the Phase 2b Study violated certain federal securities laws and SEC rules, including negligence- based disclosure violations of Sections 17(a)(2) and 17(a)(3) of the Securities Act of 1933, as amended (the “Securities Act”), as well as recordkeeping and reporting requirements under the Securities Exchange Act of 1934, as amended (the “Exchange Act”). The complaint alleges that the Company’s SEC reports and other public statements regarding the Phase 2b Study negligently contained materially misleading statements and omissions. The SEC’s allegations with respect to the Company’s two former employees relate to these employees’ roles in such disclosures. Under its settlement, the Company consented to a permanent injunction against future violations of Section 17(a) of the Securities Act, Section 13(a)(1) of the Exchange Act and Rules 12b-20, 13a-1, 13a-11 and 13a-13 under the Exchange Act. In addition, the Company paid a civil monetary penalty of $40 million in November 2024.</w:t>
      </w:r>
    </w:p>
    <w:p>
      <w:pPr>
        <w:spacing w:after="0" w:line="205"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 xml:space="preserve">On February 18, 2026, the DOJ Fraud Section notified the Company that it had closed its inquiry into the Company regarding allegations of research misconduct as described in the indictment in </w:t>
      </w:r>
      <w:r>
        <w:rPr>
          <w:rFonts w:ascii="Times New Roman" w:cs="Times New Roman" w:eastAsia="Times New Roman" w:hAnsi="Times New Roman"/>
          <w:sz w:val="20"/>
          <w:szCs w:val="20"/>
          <w:i w:val="1"/>
          <w:iCs w:val="1"/>
          <w:color w:val="auto"/>
        </w:rPr>
        <w:t>United States v. Wang</w:t>
      </w:r>
      <w:r>
        <w:rPr>
          <w:rFonts w:ascii="Times New Roman" w:cs="Times New Roman" w:eastAsia="Times New Roman" w:hAnsi="Times New Roman"/>
          <w:sz w:val="20"/>
          <w:szCs w:val="20"/>
          <w:color w:val="auto"/>
        </w:rPr>
        <w:t>, 8:24-cr-000211-TDC (D. Md.). As previously disclosed, that indictment was dismissed with prejudice by DOJ on October 23, 2025.</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These outcomes end the investigations of the Company by the DOJ and SEC.</w:t>
      </w: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96</w:t>
      </w: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4"/>
          <w:szCs w:val="24"/>
          <w:color w:val="auto"/>
        </w:rPr>
        <w:t>104 / 117</w:t>
      </w:r>
    </w:p>
    <w:p>
      <w:pPr>
        <w:sectPr>
          <w:pgSz w:w="12240" w:h="15840" w:orient="portrait"/>
          <w:cols w:equalWidth="0" w:num="1">
            <w:col w:w="10840"/>
          </w:cols>
          <w:pgMar w:left="680" w:top="788" w:right="720" w:bottom="0" w:gutter="0" w:footer="0" w:header="0"/>
        </w:sectPr>
      </w:pPr>
    </w:p>
    <w:bookmarkStart w:id="104" w:name="page105"/>
    <w:bookmarkEnd w:id="104"/>
    <w:p>
      <w:pPr>
        <w:ind w:left="120"/>
        <w:spacing w:after="0"/>
        <w:rPr>
          <w:sz w:val="20"/>
          <w:szCs w:val="20"/>
          <w:color w:val="auto"/>
        </w:rPr>
      </w:pPr>
      <w:r>
        <w:rPr>
          <w:rFonts w:ascii="Times New Roman" w:cs="Times New Roman" w:eastAsia="Times New Roman" w:hAnsi="Times New Roman"/>
          <w:sz w:val="20"/>
          <w:szCs w:val="20"/>
          <w:i w:val="1"/>
          <w:iCs w:val="1"/>
          <w:color w:val="auto"/>
        </w:rPr>
        <w:t>Securities Class Actions and Shareholder Derivative Actions</w:t>
      </w:r>
    </w:p>
    <w:p>
      <w:pPr>
        <w:spacing w:after="0" w:line="226" w:lineRule="exact"/>
        <w:rPr>
          <w:sz w:val="20"/>
          <w:szCs w:val="20"/>
          <w:color w:val="auto"/>
        </w:rPr>
      </w:pPr>
    </w:p>
    <w:p>
      <w:pPr>
        <w:jc w:val="both"/>
        <w:ind w:left="20" w:firstLine="360"/>
        <w:spacing w:after="0" w:line="266" w:lineRule="auto"/>
        <w:rPr>
          <w:sz w:val="20"/>
          <w:szCs w:val="20"/>
          <w:color w:val="auto"/>
        </w:rPr>
      </w:pPr>
      <w:r>
        <w:rPr>
          <w:rFonts w:ascii="Times New Roman" w:cs="Times New Roman" w:eastAsia="Times New Roman" w:hAnsi="Times New Roman"/>
          <w:sz w:val="19"/>
          <w:szCs w:val="19"/>
          <w:color w:val="auto"/>
        </w:rPr>
        <w:t>Between August 27, 2021 and October 26, 2021, four putative class action lawsuits were filed alleging violations of the federal securities laws by the Company and certain named officers. The complaints rely on allegations contained in Citizen Petitions submitted to FDA and allege that various statements made by the defendants regarding simufilam were rendered materially false and misleading. The Citizen Petitions were all subsequently denied by FDA. These actions were filed in the Texas District Court. The complaints seek unspecified compensatory damages and other relief on behalf of a purported class of purchasers of the Company's securities.</w:t>
      </w:r>
    </w:p>
    <w:p>
      <w:pPr>
        <w:spacing w:after="0" w:line="170"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June 30, 2022, a federal judge consolidated the four class action lawsuits into one case (the “Consolidated Securities Action”) and appointed a lead plaintiff and a lead counsel. Lead plaintiff filed a consolidated amended complaint on August 18, 2022 on behalf of a putative class of purchasers of the Company’s securities between September 14, 2020 and July 26, 2022. On May 11, 2023, the Texas District Court dismissed with prejudice plaintiffs’ claims against defendant Nadav Friedmann, PhD, MD, our former Chief Medical Officer and a Company director, who is now deceased, but otherwise denied defendants’ motion to dismiss. Defendants filed an answer to the consolidated amended complaint on July 3, 2023. On February 22, 2024, plaintiffs filed a motion to supplement their complaint to extend the putative class period through October 12, 2023. The Texas District Court granted that Motion on June 12, 2024, and plaintiffs filed a supplemental complaint on June 13, 2024.</w:t>
      </w:r>
    </w:p>
    <w:p>
      <w:pPr>
        <w:spacing w:after="0" w:line="193"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February 2, 2024, a putative class action lawsuit was filed alleging violations of the federal securities law by the Company and certain named officers. The complaint relies on an October 12, 2023 article that describes a purported leaked report of alleged scientific misconduct by a scientific collaborator of the Company at City University of New York (the “CUNY Article”). The complaint alleges that various statements made by the defendants regarding simufilam were rendered materially false and misleading by this article. The action was filed in the U.S. District Court for the Northern District of Illinois (the “Illinois District Court”). The complaint seeks unspecified compensatory damages and other relief on behalf of a purported class of purchasers of the Company’s securities between August 18, 2022 and October 12, 2023. On May 28, 2024, the Illinois District Court transferred this action to the Texas District Court, where it was consolidated into the Consolidated Securities Action.</w:t>
      </w:r>
    </w:p>
    <w:p>
      <w:pPr>
        <w:spacing w:after="0" w:line="191" w:lineRule="exact"/>
        <w:rPr>
          <w:sz w:val="20"/>
          <w:szCs w:val="20"/>
          <w:color w:val="auto"/>
        </w:rPr>
      </w:pPr>
    </w:p>
    <w:p>
      <w:pPr>
        <w:jc w:val="both"/>
        <w:ind w:firstLine="360"/>
        <w:spacing w:after="0" w:line="246" w:lineRule="auto"/>
        <w:rPr>
          <w:sz w:val="20"/>
          <w:szCs w:val="20"/>
          <w:color w:val="auto"/>
        </w:rPr>
      </w:pPr>
      <w:r>
        <w:rPr>
          <w:rFonts w:ascii="Times New Roman" w:cs="Times New Roman" w:eastAsia="Times New Roman" w:hAnsi="Times New Roman"/>
          <w:sz w:val="20"/>
          <w:szCs w:val="20"/>
          <w:color w:val="auto"/>
        </w:rPr>
        <w:t>On November 13, 2024, Plaintiffs in the Consolidated Securities Action filed a second motion to supplement their complaint. On March 13, 2024, plaintiffs filed a Motion for Class Certification. On February 25, 2025, the Texas District Court denied Plaintiff’s motion for class certification without prejudice, explaining that rulings on pending motions, including specifically Plaintiffs’ second motion to supplement their complaint, could affect disposition of class certification. On May 21, 2025, the Texas District Court granted Plaintiffs’ second motion for leave to file a second supplemented complaint and instructed Plaintiffs to refile their motion for class certification. Plaintiffs filed their second supplemental complaint on May 22, 2025, and reasserted their motion for class certification on June 20, 2025.</w:t>
      </w:r>
    </w:p>
    <w:p>
      <w:pPr>
        <w:spacing w:after="0" w:line="191"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20"/>
          <w:szCs w:val="20"/>
          <w:color w:val="auto"/>
        </w:rPr>
        <w:t>The Texas District Court granted Plaintiffs’ motion for class certification on August 12, 2025. On October 21, 2025, the United States Court of Appeals for the Fifth Circuit agreed to hear Defendants’ interlocutory appeal challenging the District Court order granting class certification. Defendants filed their opening brief on January 15, 2026.</w:t>
      </w:r>
    </w:p>
    <w:p>
      <w:pPr>
        <w:spacing w:after="0" w:line="180"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The parties to the Consolidated Securities Action engaged in mediation with David M. Murphy of Phillips Alternative Dispute Resolutions Enterprises (the “Mediator”) beginning in May 2025. On December 19, 2025, plaintiffs in the Consolidated Securities Action filed a Final Alternative Dispute Resolution (“ADR”) Report with the Texas District Court as required by Local Rule CV-88(g). As stated in the Final ADR Report, the Company and one of its officers (the “Settling Defendants”) and plaintiffs have accepted a double-blind Mediator’s Recommendation, reflected in a binding term sheet (the “Term Sheet”) pursuant to which the Settling Defendants will pay plaintiffs $31.25 million to achieve a complete settlement of all claims and causes of action that have been or could be asserted by Plaintiffs in exchange for full and complete releases. The Final ADR Report further states that, although defendants Remi Barbier and Lindsay Burns (the “Non-Settling Defendants”), did not execute the Term Sheet, those individuals are indemnified by the Company and under the Term Sheet are entitled to receive full and complete releases along with Settling Defendants upon final approval of a settlement by the Texas District Court.</w:t>
      </w:r>
    </w:p>
    <w:p>
      <w:pPr>
        <w:spacing w:after="0" w:line="202"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The Term Sheet provides that the Company will pay a settlement amount equal to $31.25 million, which is expected to be placed into escrow after the Settling Defendants and plaintiffs enter a formal stipulation of settlement. In exchange, the plaintiffs and the class will grant full and complete releases in favor of the Settling Defendants and the Non-Settling Defendants of all of their claims that were or could have been asserted in the Consolidated Securities Action and will dismiss with prejudice the claims asserted against the Non-Settling Defendants. The settlement is not an admission of fault or wrongdoing by the Company or any of the other defendants.</w:t>
      </w:r>
    </w:p>
    <w:p>
      <w:pPr>
        <w:spacing w:after="0" w:line="187" w:lineRule="exact"/>
        <w:rPr>
          <w:sz w:val="20"/>
          <w:szCs w:val="20"/>
          <w:color w:val="auto"/>
        </w:rPr>
      </w:pPr>
    </w:p>
    <w:p>
      <w:pPr>
        <w:jc w:val="both"/>
        <w:ind w:right="20" w:firstLine="360"/>
        <w:spacing w:after="0" w:line="277" w:lineRule="auto"/>
        <w:rPr>
          <w:sz w:val="20"/>
          <w:szCs w:val="20"/>
          <w:color w:val="auto"/>
        </w:rPr>
      </w:pPr>
      <w:r>
        <w:rPr>
          <w:rFonts w:ascii="Times New Roman" w:cs="Times New Roman" w:eastAsia="Times New Roman" w:hAnsi="Times New Roman"/>
          <w:sz w:val="20"/>
          <w:szCs w:val="20"/>
          <w:color w:val="auto"/>
        </w:rPr>
        <w:t>The Company recorded a loss contingency of $31.25 million in accounts payable and other accrued expenses in the Consolidated Balance Sheets at December 31, 2025 relating to the Consolidated Securities Action.</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105 / 117</w:t>
      </w:r>
    </w:p>
    <w:p>
      <w:pPr>
        <w:sectPr>
          <w:pgSz w:w="12240" w:h="15840" w:orient="portrait"/>
          <w:cols w:equalWidth="0" w:num="1">
            <w:col w:w="10820"/>
          </w:cols>
          <w:pgMar w:left="700" w:top="790" w:right="720" w:bottom="0" w:gutter="0" w:footer="0" w:header="0"/>
        </w:sectPr>
      </w:pPr>
    </w:p>
    <w:bookmarkStart w:id="105" w:name="page106"/>
    <w:bookmarkEnd w:id="105"/>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The Settling Defendants and plaintiffs intend to prepare a formal stipulation of settlement and motion for preliminary approval of the settlement describing the terms of the proposed settlement, which will be presented to the Texas District Court for preliminary approval. Following preliminary approval of the proposed settlement by the Texas District Court and a notice and review period for class members, plaintiffs will seek final approval of the proposed settlement from the Texas District Court.</w:t>
      </w:r>
    </w:p>
    <w:p>
      <w:pPr>
        <w:spacing w:after="0" w:line="188"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On November 4, 2021, a shareholder derivative action related to the initial four class action lawsuits filed in the Texas District Court was filed, purportedly on behalf of the Company, in the Texas District Court, asserting claims under the U.S. securities laws and state fiduciary duty laws against certain named officers and the members of the Company’s Board. This complaint relies on the allegations made in Citizen Petitions that were submitted to (and subsequently denied by) FDA. The complaint alleges,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 seeks, among other things, to recover unspecified compensatory damages on behalf of the Company arising out of the individual defendants’ alleged wrongful conduct. Although the plaintiff in this derivative case does not seek relief against the Company, the Company has certain indemnification obligations to the individual defendants. Between November 4, 2021 and November 9, 2023, five additional shareholder derivative actions were filed alleging substantially similar claims, three in the Texas District Court, one in Texas state court (Travis County District Court) and one in the Delaware Court of Chancery. As of November 12, 2025, the four actions in the Texas District Court are all consolidated into a single action.</w:t>
      </w:r>
    </w:p>
    <w:p>
      <w:pPr>
        <w:spacing w:after="0" w:line="196"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color w:val="auto"/>
        </w:rPr>
        <w:t>Beginning on March 18, 2024, two shareholder derivative actions related to the February 2024 class action lawsuit originally filed in the Illinois District Court were filed, purportedly on behalf of the Company, in the Illinois District Court, asserting claims under the U.S. securities laws and state fiduciary duty laws against certain named officers and the members of the Company’s Board. The complaints rely on the CUNY Article. The complaints allege,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cases seek, among other things, to recover unspecified compensatory damages on behalf of the Company arising out of the individual defendant’s alleged wrongful conduct. Although the plaintiffs in these derivative cases do not seek relief against the Company, the Company has certain indemnification obligations to the individual defendants. On September 6, 2024, these two cases were consolidated and stayed pending further developments in the shareholder class action initially filed in the Illinois District Court on February 2, 2024. Due to the stage of the foregoing shareholder derivative actions, the Company is unable to predict the outcome or estimate the amount of loss or range of losses that could potentially result from such derivative lawsuits.</w:t>
      </w:r>
    </w:p>
    <w:p>
      <w:pPr>
        <w:spacing w:after="0" w:line="194"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December 13, 2024, a putative class action lawsuit (the “2024 Securities Class Action”) was filed, purportedly on behalf of the Company, alleging violations of the federal securities law by the Company and certain named officers. The complaint alleged that various statements made by the defendants regarding simufilam were revealed to be materially false and misleading by the release of top-line results for the Company’s RETHINK-ALZ Phase 3 clinical trial on November 25, 2024. The 2024 Securities Class Action was filed in the Texas District Court. The complaint sought unspecified compensatory damages and other relief on behalf of a purported class of purchasers of the Company’s securities between February 7, 2024, and November 24, 2024.</w:t>
      </w:r>
    </w:p>
    <w:p>
      <w:pPr>
        <w:spacing w:after="0" w:line="191"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May 8, 2025, the Court appointed a lead plaintiff and lead counsel for the 2024 Securities Class Action. Lead plaintiff filed an amended complaint on August 25, 2025, on behalf of a putative class of purchasers of the Company’s securities between October 13, 2023 and March 25, 2025. The amended complaint added new officer defendants and additional allegations that various statements made by the defendants regarding simufilam were revealed to be materially false and misleading by disclosures in June 2024 through September 2024. On September 19, 2025, defendants filed a motion to consolidate the 2024 Securities Class Action into the Consolidated Securities Action. Lead plaintiff opposed that motion, and it remains pending.</w:t>
      </w:r>
    </w:p>
    <w:p>
      <w:pPr>
        <w:spacing w:after="0" w:line="190"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On November 6, 2025, Defendants moved to dismiss the 2024 Securities Class Action. Lead plaintiff opposed that motion, and it remains pending.</w:t>
      </w:r>
    </w:p>
    <w:p>
      <w:pPr>
        <w:spacing w:after="0" w:line="158" w:lineRule="exact"/>
        <w:rPr>
          <w:sz w:val="20"/>
          <w:szCs w:val="20"/>
          <w:color w:val="auto"/>
        </w:rPr>
      </w:pPr>
    </w:p>
    <w:p>
      <w:pPr>
        <w:jc w:val="both"/>
        <w:ind w:firstLine="360"/>
        <w:spacing w:after="0" w:line="259" w:lineRule="auto"/>
        <w:rPr>
          <w:sz w:val="20"/>
          <w:szCs w:val="20"/>
          <w:color w:val="auto"/>
        </w:rPr>
      </w:pPr>
      <w:r>
        <w:rPr>
          <w:rFonts w:ascii="Times New Roman" w:cs="Times New Roman" w:eastAsia="Times New Roman" w:hAnsi="Times New Roman"/>
          <w:sz w:val="20"/>
          <w:szCs w:val="20"/>
          <w:color w:val="auto"/>
        </w:rPr>
        <w:t>Due to the stage and procedural posture of the 2024 Securities Class Action, the Company is unable to predict the likelihood of an unfavorable outcome in the 2024 Securities Class Action. It is reasonably possible, however, that the Company may incur a loss. The Company is unable to reasonably estimate the amount or range of potential loss at this time.</w:t>
      </w:r>
    </w:p>
    <w:p>
      <w:pPr>
        <w:spacing w:after="0" w:line="178"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On August 19, 2022, a shareholder derivative action was filed, purportedly on behalf of the Company, in the Delaware Court of Chancery, asserting claims under state fiduciary duty laws against certain named officers and members of the Company’s Board (the “CIB Derivative Action”) . The complaint alleged, among other things, that the individual defendants breached their fiduciary duties by approving the CIB Plan in August 2020. The complaints sought unspecified compensatory damages and other relief. On January 6, 2023, the plaintiffs filed an amended complaint. Defendants filed a partial answer to the amended complaint on March 10, 2023, and moved to partially dismiss the amended complaint on March 14, 2023.</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106 / 117</w:t>
      </w:r>
    </w:p>
    <w:p>
      <w:pPr>
        <w:sectPr>
          <w:pgSz w:w="12240" w:h="15840" w:orient="portrait"/>
          <w:cols w:equalWidth="0" w:num="1">
            <w:col w:w="10820"/>
          </w:cols>
          <w:pgMar w:left="700" w:top="788" w:right="720" w:bottom="0" w:gutter="0" w:footer="0" w:header="0"/>
        </w:sectPr>
      </w:pPr>
    </w:p>
    <w:bookmarkStart w:id="106" w:name="page107"/>
    <w:bookmarkEnd w:id="106"/>
    <w:p>
      <w:pPr>
        <w:jc w:val="both"/>
        <w:ind w:firstLine="360"/>
        <w:spacing w:after="0" w:line="251" w:lineRule="auto"/>
        <w:rPr>
          <w:sz w:val="20"/>
          <w:szCs w:val="20"/>
          <w:color w:val="auto"/>
        </w:rPr>
      </w:pPr>
      <w:r>
        <w:rPr>
          <w:rFonts w:ascii="Times New Roman" w:cs="Times New Roman" w:eastAsia="Times New Roman" w:hAnsi="Times New Roman"/>
          <w:sz w:val="20"/>
          <w:szCs w:val="20"/>
          <w:color w:val="auto"/>
        </w:rPr>
        <w:t>On May 28, 2024, the parties in the CIB Derivative Action entered into a Stipulation and Agreement of Settlement, Compromise, and Release (the “Stipulation”) to resolve the CIB Derivative Action. The Stipulation and exhibits thereto, including the proposed Notice of Pendency of Settlement of Class and Derivative Action (the “Notice”) and [Proposed] Scheduling Order with Respect to Notice and Settlement Hearing (the “Scheduling Order”), were filed in the Delaware Court of Chancery on May 28, 2024.</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color w:val="auto"/>
        </w:rPr>
        <w:t>On June 26, 2024, the Delaware Court of Chancery entered the Scheduling Order, which included approval of the Notice. The Delaware Court of Chancery held a settlement hearing on September 9, 2024. On January 24, 2025, the Delaware Court of Chancery entered a Final Order and Judgment approving the Stipulation and dismissing the CIB Derivative Action with prejudice. Pursuant to the Final Order, the Company paid $1.0 million in attorneys’ fees and expenses in February 2025, which was recorded in accounts payable and other accrued expenses at December 31, 2024.</w:t>
      </w:r>
    </w:p>
    <w:p>
      <w:pPr>
        <w:spacing w:after="0" w:line="187"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Subject to the Term Sheet in the Consolidated Securities Action, the Company intends to defend all pending shareholder derivative actions and securities class actions vigorously.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Anti-SLAPP Lawsuit</w:t>
      </w:r>
    </w:p>
    <w:p>
      <w:pPr>
        <w:spacing w:after="0" w:line="22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color w:val="auto"/>
        </w:rPr>
        <w:t>On August 6, 2024, a lawsuit was filed in the District Court for the Southern District of New York which, as amended and as joined by intervenor plaintiffs, asserts claims, including a claim under the New York Anti-SLAPP Law, against the Company and against two former officers to whom the Company has certain indemnification obligations. The amended complaint and the complaint in intervention seeks costs and damages relating to a defamation action filed by the Company against the plaintiffs and subsequently dismissed voluntarily and without prejudice by the Company. The Company and its two former officers named as defendants have entered comprehensive settlement agreements with the intervenor plaintiffs and another potential plaintiff under which the parties provided mutual releases and the Company paid approximately $2.5 million in October 2025. The Company intends to defend vigorously the claims brought by the remaining plaintiffs.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Contingencies</w:t>
      </w:r>
    </w:p>
    <w:p>
      <w:pPr>
        <w:spacing w:after="0" w:line="22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color w:val="auto"/>
        </w:rPr>
        <w:t>In connection with ongoing litigation, the Company has reserved an amount of $32.75 million, including the $31.25 million loss contingency for the Consolidated Securities Action, for potential settlements at December 31, 2025 which was recorded in accounts payable and other accrued expenses. The Company recorded loss continencies totaling $35.25 million during the year ended December 31, 2025. The Company believes that the likelihood of an unfavorable outcome is reasonably possible and has accrued this amount as the best estimate of potential loss. The final outcome of the litigation in which the Company is involved may differ from the reserved amount, and additional losses may be incurred.</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13. Warrant Dividend Distribution</w:t>
      </w:r>
    </w:p>
    <w:p>
      <w:pPr>
        <w:spacing w:after="0" w:line="232" w:lineRule="exact"/>
        <w:rPr>
          <w:sz w:val="20"/>
          <w:szCs w:val="20"/>
          <w:color w:val="auto"/>
        </w:rPr>
      </w:pPr>
    </w:p>
    <w:p>
      <w:pPr>
        <w:jc w:val="both"/>
        <w:ind w:left="20" w:firstLine="360"/>
        <w:spacing w:after="0" w:line="252" w:lineRule="auto"/>
        <w:rPr>
          <w:sz w:val="20"/>
          <w:szCs w:val="20"/>
          <w:color w:val="auto"/>
        </w:rPr>
      </w:pPr>
      <w:r>
        <w:rPr>
          <w:rFonts w:ascii="Times New Roman" w:cs="Times New Roman" w:eastAsia="Times New Roman" w:hAnsi="Times New Roman"/>
          <w:sz w:val="20"/>
          <w:szCs w:val="20"/>
          <w:color w:val="auto"/>
        </w:rPr>
        <w:t>On January 3, 2024, the Company made a distribution to the holders of record of the Company’s common stock in the form of warrants to purchase shares of common stock. Each holder of record of the Company's common stock as of the close of business on December 22, 2023 received four warrants for every 10 shares of common stock (rounded down for any fractional warrant) resulting in the issuance of approximately 16.9 million warrants.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107 / 117</w:t>
      </w:r>
    </w:p>
    <w:p>
      <w:pPr>
        <w:sectPr>
          <w:pgSz w:w="12240" w:h="15840" w:orient="portrait"/>
          <w:cols w:equalWidth="0" w:num="1">
            <w:col w:w="10820"/>
          </w:cols>
          <w:pgMar w:left="700" w:top="788" w:right="720" w:bottom="0" w:gutter="0" w:footer="0" w:header="0"/>
        </w:sectPr>
      </w:pPr>
    </w:p>
    <w:bookmarkStart w:id="107" w:name="page108"/>
    <w:bookmarkEnd w:id="107"/>
    <w:p>
      <w:pPr>
        <w:ind w:right="20" w:firstLine="360"/>
        <w:spacing w:after="0" w:line="257" w:lineRule="auto"/>
        <w:rPr>
          <w:sz w:val="20"/>
          <w:szCs w:val="20"/>
          <w:color w:val="auto"/>
        </w:rPr>
      </w:pPr>
      <w:r>
        <w:rPr>
          <w:rFonts w:ascii="Times New Roman" w:cs="Times New Roman" w:eastAsia="Times New Roman" w:hAnsi="Times New Roman"/>
          <w:sz w:val="20"/>
          <w:szCs w:val="20"/>
          <w:color w:val="auto"/>
        </w:rPr>
        <w:t>Each warrant entitled the holder to purchase, at the holder’s sole expense and exclusive election, at an exercise price of $33.00 per warrant, one and one-half shares of common stock (rounded down for any fractional shares). Payment for shares of common stock upon exercise of warrants was required to be in cash.</w:t>
      </w:r>
    </w:p>
    <w:p>
      <w:pPr>
        <w:spacing w:after="0" w:line="181"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On April 15, 2024, the Company announced that all outstanding warrants would be redeemed on May 7, 2024 (the “Redemption Date”). The redemption price was equal to 1/10 of $0.01 per warrant. The warrants were exercisable at any time starting on January 3, 2024 until the business day prior to the Redemption Date. There are no remaining warrants currently outstanding.</w:t>
      </w:r>
    </w:p>
    <w:p>
      <w:pPr>
        <w:spacing w:after="0" w:line="17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The warrants were subject to the terms and conditions of the Warrant Agreement (including Form of Warrant), dated January 3, 2024, between the Company, Computershare Inc., and Computershare Trust Company, N.A. as filed in a Current Report on Form 8-K with the SEC on January 3, 2024. The warrants were listed and traded separately from the Company's common stock on the Nasdaq Capital Market under the ticker “SAVAW”.</w:t>
      </w:r>
    </w:p>
    <w:p>
      <w:pPr>
        <w:spacing w:after="0" w:line="184"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From January 3, 2024 through the Redemption Date, a total of approximately 3.8 million warrants were exercised. Gross proceeds for 2024 from the warrant distribution totaled approximately $126.3 million from the issuance of approximately 5.7 million common shares at $22.00 per share. Total net proceeds of the warrant distribution were approximately $123.6 million after deducting exercise expenses and commissions.</w:t>
      </w:r>
    </w:p>
    <w:p>
      <w:pPr>
        <w:spacing w:after="0" w:line="186"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After the first $ 20 million of gross proceeds, the Company was obligated to pay a commission of 2.5% of the gross proceeds from the sale of shares of common stock from warrant exercises to the Company's financial advisor for the warrant distribution. Total cost of warrant exercises through the Redemption Date were approximately $2.7 million.</w:t>
      </w:r>
    </w:p>
    <w:p>
      <w:pPr>
        <w:spacing w:after="0" w:line="17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Costs of the warrant distribution totaling approximately $537,000 were recorded as general and administrative expenses in the statements of operations upon distribution of the warrants on January 3, 2024.</w:t>
      </w:r>
    </w:p>
    <w:p>
      <w:pPr>
        <w:spacing w:after="0" w:line="158"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outstanding warrants were classified as liabilities in accordance with ASC 480 and ASC 815, which required the warrants to be measured at initial fair value on January 3, 2024 and at each reporting period thereafter, with the changes in fair value recognized as a non-cash gain or loss in our consolidated statements of operations. As of December 31, 2025, there were no warrants outstanding.</w:t>
      </w:r>
    </w:p>
    <w:p>
      <w:pPr>
        <w:spacing w:after="0" w:line="180" w:lineRule="exact"/>
        <w:rPr>
          <w:sz w:val="20"/>
          <w:szCs w:val="20"/>
          <w:color w:val="auto"/>
        </w:rPr>
      </w:pPr>
    </w:p>
    <w:p>
      <w:pPr>
        <w:jc w:val="both"/>
        <w:ind w:right="20" w:firstLine="360"/>
        <w:spacing w:after="0" w:line="274" w:lineRule="auto"/>
        <w:rPr>
          <w:sz w:val="20"/>
          <w:szCs w:val="20"/>
          <w:color w:val="auto"/>
        </w:rPr>
      </w:pPr>
      <w:r>
        <w:rPr>
          <w:rFonts w:ascii="Times New Roman" w:cs="Times New Roman" w:eastAsia="Times New Roman" w:hAnsi="Times New Roman"/>
          <w:sz w:val="20"/>
          <w:szCs w:val="20"/>
          <w:color w:val="auto"/>
        </w:rPr>
        <w:t>During the period from common stock warrant distribution on January 3, 2024 to the Redemption Date, changes in the Company's common stock warrants liability and warrants outstanding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0" w:type="dxa"/>
            <w:vAlign w:val="bottom"/>
          </w:tcPr>
          <w:p>
            <w:pPr>
              <w:spacing w:after="0"/>
              <w:rPr>
                <w:sz w:val="1"/>
                <w:szCs w:val="1"/>
                <w:color w:val="auto"/>
              </w:rPr>
            </w:pPr>
          </w:p>
        </w:tc>
      </w:tr>
      <w:tr>
        <w:trPr>
          <w:trHeight w:val="231"/>
        </w:trPr>
        <w:tc>
          <w:tcPr>
            <w:tcW w:w="7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Common Stock</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Warrant</w:t>
            </w:r>
          </w:p>
        </w:tc>
        <w:tc>
          <w:tcPr>
            <w:tcW w:w="0" w:type="dxa"/>
            <w:vAlign w:val="bottom"/>
          </w:tcPr>
          <w:p>
            <w:pPr>
              <w:spacing w:after="0"/>
              <w:rPr>
                <w:sz w:val="1"/>
                <w:szCs w:val="1"/>
                <w:color w:val="auto"/>
              </w:rPr>
            </w:pPr>
          </w:p>
        </w:tc>
      </w:tr>
      <w:tr>
        <w:trPr>
          <w:trHeight w:val="260"/>
        </w:trPr>
        <w:tc>
          <w:tcPr>
            <w:tcW w:w="7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Warrants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Liability</w:t>
            </w:r>
          </w:p>
        </w:tc>
        <w:tc>
          <w:tcPr>
            <w:tcW w:w="0" w:type="dxa"/>
            <w:vAlign w:val="bottom"/>
          </w:tcPr>
          <w:p>
            <w:pPr>
              <w:spacing w:after="0"/>
              <w:rPr>
                <w:sz w:val="1"/>
                <w:szCs w:val="1"/>
                <w:color w:val="auto"/>
              </w:rPr>
            </w:pPr>
          </w:p>
        </w:tc>
      </w:tr>
      <w:tr>
        <w:trPr>
          <w:trHeight w:val="230"/>
        </w:trPr>
        <w:tc>
          <w:tcPr>
            <w:tcW w:w="7560" w:type="dxa"/>
            <w:vAlign w:val="bottom"/>
            <w:tcBorders>
              <w:top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rPr>
              <w:t>Distribution of common stock warrants on January 3, 2024</w:t>
            </w:r>
          </w:p>
        </w:tc>
        <w:tc>
          <w:tcPr>
            <w:tcW w:w="100" w:type="dxa"/>
            <w:vAlign w:val="bottom"/>
            <w:tcBorders>
              <w:top w:val="single" w:sz="8" w:color="E3E3E3"/>
            </w:tcBorders>
            <w:shd w:val="clear" w:color="auto" w:fill="E3E3E3"/>
          </w:tcPr>
          <w:p>
            <w:pPr>
              <w:spacing w:after="0"/>
              <w:rPr>
                <w:sz w:val="19"/>
                <w:szCs w:val="19"/>
                <w:color w:val="auto"/>
              </w:rPr>
            </w:pPr>
          </w:p>
        </w:tc>
        <w:tc>
          <w:tcPr>
            <w:tcW w:w="2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shd w:val="clear" w:color="auto" w:fill="E3E3E3"/>
          </w:tcPr>
          <w:p>
            <w:pPr>
              <w:spacing w:after="0"/>
              <w:rPr>
                <w:sz w:val="19"/>
                <w:szCs w:val="19"/>
                <w:color w:val="auto"/>
              </w:rPr>
            </w:pPr>
          </w:p>
        </w:tc>
        <w:tc>
          <w:tcPr>
            <w:tcW w:w="13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16,895</w:t>
            </w:r>
          </w:p>
        </w:tc>
        <w:tc>
          <w:tcPr>
            <w:tcW w:w="20" w:type="dxa"/>
            <w:vAlign w:val="bottom"/>
          </w:tcPr>
          <w:p>
            <w:pPr>
              <w:spacing w:after="0"/>
              <w:rPr>
                <w:sz w:val="19"/>
                <w:szCs w:val="19"/>
                <w:color w:val="auto"/>
              </w:rPr>
            </w:pPr>
          </w:p>
        </w:tc>
        <w:tc>
          <w:tcPr>
            <w:tcW w:w="8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c>
          <w:tcPr>
            <w:tcW w:w="2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113,363</w:t>
            </w:r>
          </w:p>
        </w:tc>
        <w:tc>
          <w:tcPr>
            <w:tcW w:w="100" w:type="dxa"/>
            <w:vAlign w:val="bottom"/>
            <w:tcBorders>
              <w:top w:val="single" w:sz="8" w:color="E3E3E3"/>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56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Warrants exercised</w:t>
            </w:r>
          </w:p>
        </w:tc>
        <w:tc>
          <w:tcPr>
            <w:tcW w:w="1520" w:type="dxa"/>
            <w:vAlign w:val="bottom"/>
            <w:tcBorders>
              <w:bottom w:val="single" w:sz="8" w:color="E3E3E3"/>
            </w:tcBorders>
            <w:gridSpan w:val="4"/>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400" w:type="dxa"/>
            <w:vAlign w:val="bottom"/>
            <w:tcBorders>
              <w:bottom w:val="single" w:sz="8" w:color="E3E3E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(4,954)</w:t>
            </w:r>
          </w:p>
        </w:tc>
        <w:tc>
          <w:tcPr>
            <w:tcW w:w="0" w:type="dxa"/>
            <w:vAlign w:val="bottom"/>
          </w:tcPr>
          <w:p>
            <w:pPr>
              <w:spacing w:after="0"/>
              <w:rPr>
                <w:sz w:val="1"/>
                <w:szCs w:val="1"/>
                <w:color w:val="auto"/>
              </w:rPr>
            </w:pPr>
          </w:p>
        </w:tc>
      </w:tr>
      <w:tr>
        <w:trPr>
          <w:trHeight w:val="235"/>
        </w:trPr>
        <w:tc>
          <w:tcPr>
            <w:tcW w:w="7560" w:type="dxa"/>
            <w:vAlign w:val="bottom"/>
            <w:tcBorders>
              <w:bottom w:val="single" w:sz="8" w:color="E3E3E3"/>
            </w:tcBorders>
            <w:shd w:val="clear" w:color="auto" w:fill="E3E3E3"/>
          </w:tcPr>
          <w:p>
            <w:pPr>
              <w:ind w:left="180"/>
              <w:spacing w:after="0" w:line="215" w:lineRule="exact"/>
              <w:rPr>
                <w:sz w:val="20"/>
                <w:szCs w:val="20"/>
                <w:color w:val="auto"/>
              </w:rPr>
            </w:pPr>
            <w:r>
              <w:rPr>
                <w:rFonts w:ascii="Times New Roman" w:cs="Times New Roman" w:eastAsia="Times New Roman" w:hAnsi="Times New Roman"/>
                <w:sz w:val="20"/>
                <w:szCs w:val="20"/>
                <w:color w:val="auto"/>
              </w:rPr>
              <w:t>Gain from change in fair value of warrant liabilities</w:t>
            </w: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auto"/>
            </w:tcBorders>
            <w:shd w:val="clear" w:color="auto" w:fill="E3E3E3"/>
          </w:tcPr>
          <w:p>
            <w:pPr>
              <w:spacing w:after="0"/>
              <w:rPr>
                <w:sz w:val="20"/>
                <w:szCs w:val="20"/>
                <w:color w:val="auto"/>
              </w:rPr>
            </w:pPr>
          </w:p>
        </w:tc>
        <w:tc>
          <w:tcPr>
            <w:tcW w:w="1300" w:type="dxa"/>
            <w:vAlign w:val="bottom"/>
            <w:tcBorders>
              <w:bottom w:val="single" w:sz="8" w:color="auto"/>
            </w:tcBorders>
            <w:shd w:val="clear" w:color="auto" w:fill="E3E3E3"/>
          </w:tcPr>
          <w:p>
            <w:pPr>
              <w:jc w:val="right"/>
              <w:spacing w:after="0" w:line="215" w:lineRule="exact"/>
              <w:rPr>
                <w:sz w:val="20"/>
                <w:szCs w:val="20"/>
                <w:color w:val="auto"/>
              </w:rPr>
            </w:pPr>
            <w:r>
              <w:rPr>
                <w:rFonts w:ascii="Times New Roman" w:cs="Times New Roman" w:eastAsia="Times New Roman" w:hAnsi="Times New Roman"/>
                <w:sz w:val="20"/>
                <w:szCs w:val="20"/>
                <w:color w:val="auto"/>
              </w:rPr>
              <w:t>(43,041)</w:t>
            </w:r>
          </w:p>
        </w:tc>
        <w:tc>
          <w:tcPr>
            <w:tcW w:w="10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Balance at March 31, 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16,221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65,368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560" w:type="dxa"/>
            <w:vAlign w:val="bottom"/>
            <w:shd w:val="clear" w:color="auto" w:fill="E3E3E3"/>
          </w:tcPr>
          <w:p>
            <w:pPr>
              <w:ind w:left="180"/>
              <w:spacing w:after="0"/>
              <w:rPr>
                <w:sz w:val="20"/>
                <w:szCs w:val="20"/>
                <w:color w:val="auto"/>
              </w:rPr>
            </w:pPr>
            <w:r>
              <w:rPr>
                <w:rFonts w:ascii="Times New Roman" w:cs="Times New Roman" w:eastAsia="Times New Roman" w:hAnsi="Times New Roman"/>
                <w:sz w:val="20"/>
                <w:szCs w:val="20"/>
                <w:color w:val="auto"/>
              </w:rPr>
              <w:t>Warrants exercised</w:t>
            </w: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(3,152)</w:t>
            </w:r>
          </w:p>
        </w:tc>
        <w:tc>
          <w:tcPr>
            <w:tcW w:w="20" w:type="dxa"/>
            <w:vAlign w:val="bottom"/>
          </w:tcPr>
          <w:p>
            <w:pPr>
              <w:spacing w:after="0"/>
              <w:rPr>
                <w:sz w:val="20"/>
                <w:szCs w:val="20"/>
                <w:color w:val="auto"/>
              </w:rPr>
            </w:pPr>
          </w:p>
        </w:tc>
        <w:tc>
          <w:tcPr>
            <w:tcW w:w="8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100" w:type="dxa"/>
            <w:vAlign w:val="bottom"/>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560" w:type="dxa"/>
            <w:vAlign w:val="bottom"/>
            <w:tcBorders>
              <w:bottom w:val="single" w:sz="8" w:color="E3E3E3"/>
            </w:tcBorders>
          </w:tcPr>
          <w:p>
            <w:pPr>
              <w:ind w:left="180"/>
              <w:spacing w:after="0"/>
              <w:rPr>
                <w:sz w:val="20"/>
                <w:szCs w:val="20"/>
                <w:color w:val="auto"/>
              </w:rPr>
            </w:pPr>
            <w:r>
              <w:rPr>
                <w:rFonts w:ascii="Times New Roman" w:cs="Times New Roman" w:eastAsia="Times New Roman" w:hAnsi="Times New Roman"/>
                <w:sz w:val="20"/>
                <w:szCs w:val="20"/>
                <w:color w:val="auto"/>
              </w:rPr>
              <w:t>Gain from change in fair value of warrant liabilities</w:t>
            </w: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300" w:type="dxa"/>
            <w:vAlign w:val="bottom"/>
            <w:tcBorders>
              <w:bottom w:val="single" w:sz="8" w:color="E3E3E3"/>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20" w:type="dxa"/>
            <w:vAlign w:val="bottom"/>
            <w:tcBorders>
              <w:bottom w:val="single" w:sz="8" w:color="E3E3E3"/>
            </w:tcBorders>
          </w:tcPr>
          <w:p>
            <w:pPr>
              <w:spacing w:after="0"/>
              <w:rPr>
                <w:sz w:val="20"/>
                <w:szCs w:val="20"/>
                <w:color w:val="auto"/>
              </w:rPr>
            </w:pPr>
          </w:p>
        </w:tc>
        <w:tc>
          <w:tcPr>
            <w:tcW w:w="100" w:type="dxa"/>
            <w:vAlign w:val="bottom"/>
            <w:tcBorders>
              <w:bottom w:val="single" w:sz="8" w:color="E3E3E3"/>
            </w:tcBorders>
          </w:tcPr>
          <w:p>
            <w:pPr>
              <w:spacing w:after="0"/>
              <w:rPr>
                <w:sz w:val="20"/>
                <w:szCs w:val="20"/>
                <w:color w:val="auto"/>
              </w:rPr>
            </w:pPr>
          </w:p>
        </w:tc>
        <w:tc>
          <w:tcPr>
            <w:tcW w:w="1400" w:type="dxa"/>
            <w:vAlign w:val="bottom"/>
            <w:tcBorders>
              <w:bottom w:val="single" w:sz="8" w:color="E3E3E3"/>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(65,142)</w:t>
            </w:r>
          </w:p>
        </w:tc>
        <w:tc>
          <w:tcPr>
            <w:tcW w:w="0" w:type="dxa"/>
            <w:vAlign w:val="bottom"/>
          </w:tcPr>
          <w:p>
            <w:pPr>
              <w:spacing w:after="0"/>
              <w:rPr>
                <w:sz w:val="1"/>
                <w:szCs w:val="1"/>
                <w:color w:val="auto"/>
              </w:rPr>
            </w:pPr>
          </w:p>
        </w:tc>
      </w:tr>
      <w:tr>
        <w:trPr>
          <w:trHeight w:val="233"/>
        </w:trPr>
        <w:tc>
          <w:tcPr>
            <w:tcW w:w="7560" w:type="dxa"/>
            <w:vAlign w:val="bottom"/>
            <w:tcBorders>
              <w:bottom w:val="single" w:sz="8" w:color="E3E3E3"/>
            </w:tcBorders>
            <w:shd w:val="clear" w:color="auto" w:fill="E3E3E3"/>
          </w:tcPr>
          <w:p>
            <w:pPr>
              <w:ind w:left="180"/>
              <w:spacing w:after="0" w:line="213" w:lineRule="exact"/>
              <w:rPr>
                <w:sz w:val="20"/>
                <w:szCs w:val="20"/>
                <w:color w:val="auto"/>
              </w:rPr>
            </w:pPr>
            <w:r>
              <w:rPr>
                <w:rFonts w:ascii="Times New Roman" w:cs="Times New Roman" w:eastAsia="Times New Roman" w:hAnsi="Times New Roman"/>
                <w:sz w:val="20"/>
                <w:szCs w:val="20"/>
                <w:color w:val="auto"/>
              </w:rPr>
              <w:t>Redemption of common stock warrants</w:t>
            </w: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(13,069)</w:t>
            </w:r>
          </w:p>
        </w:tc>
        <w:tc>
          <w:tcPr>
            <w:tcW w:w="20" w:type="dxa"/>
            <w:vAlign w:val="bottom"/>
            <w:tcBorders>
              <w:bottom w:val="single" w:sz="8" w:color="E3E3E3"/>
            </w:tcBorders>
          </w:tcPr>
          <w:p>
            <w:pPr>
              <w:spacing w:after="0"/>
              <w:rPr>
                <w:sz w:val="20"/>
                <w:szCs w:val="20"/>
                <w:color w:val="auto"/>
              </w:rPr>
            </w:pPr>
          </w:p>
        </w:tc>
        <w:tc>
          <w:tcPr>
            <w:tcW w:w="8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20" w:type="dxa"/>
            <w:vAlign w:val="bottom"/>
            <w:tcBorders>
              <w:bottom w:val="single" w:sz="8" w:color="E3E3E3"/>
            </w:tcBorders>
            <w:shd w:val="clear" w:color="auto" w:fill="E3E3E3"/>
          </w:tcPr>
          <w:p>
            <w:pPr>
              <w:spacing w:after="0"/>
              <w:rPr>
                <w:sz w:val="20"/>
                <w:szCs w:val="20"/>
                <w:color w:val="auto"/>
              </w:rPr>
            </w:pPr>
          </w:p>
        </w:tc>
        <w:tc>
          <w:tcPr>
            <w:tcW w:w="100" w:type="dxa"/>
            <w:vAlign w:val="bottom"/>
            <w:tcBorders>
              <w:bottom w:val="single" w:sz="8" w:color="E3E3E3"/>
            </w:tcBorders>
            <w:shd w:val="clear" w:color="auto" w:fill="E3E3E3"/>
          </w:tcPr>
          <w:p>
            <w:pPr>
              <w:spacing w:after="0"/>
              <w:rPr>
                <w:sz w:val="20"/>
                <w:szCs w:val="20"/>
                <w:color w:val="auto"/>
              </w:rPr>
            </w:pPr>
          </w:p>
        </w:tc>
        <w:tc>
          <w:tcPr>
            <w:tcW w:w="1300" w:type="dxa"/>
            <w:vAlign w:val="bottom"/>
            <w:tcBorders>
              <w:bottom w:val="single" w:sz="8" w:color="E3E3E3"/>
            </w:tcBorders>
            <w:shd w:val="clear" w:color="auto" w:fill="E3E3E3"/>
          </w:tcPr>
          <w:p>
            <w:pPr>
              <w:jc w:val="right"/>
              <w:spacing w:after="0" w:line="213"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5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auto"/>
              </w:rPr>
              <w:t>Balance as of June 30, 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E3E3E3"/>
            </w:tcBorders>
          </w:tcPr>
          <w:p>
            <w:pPr>
              <w:spacing w:after="0"/>
              <w:rPr>
                <w:sz w:val="19"/>
                <w:szCs w:val="19"/>
                <w:color w:val="auto"/>
              </w:rPr>
            </w:pPr>
          </w:p>
        </w:tc>
        <w:tc>
          <w:tcPr>
            <w:tcW w:w="80" w:type="dxa"/>
            <w:vAlign w:val="bottom"/>
            <w:tcBorders>
              <w:top w:val="single" w:sz="8" w:color="E3E3E3"/>
            </w:tcBorders>
          </w:tcPr>
          <w:p>
            <w:pPr>
              <w:spacing w:after="0"/>
              <w:rPr>
                <w:sz w:val="19"/>
                <w:szCs w:val="19"/>
                <w:color w:val="auto"/>
              </w:rPr>
            </w:pPr>
          </w:p>
        </w:tc>
        <w:tc>
          <w:tcPr>
            <w:tcW w:w="100" w:type="dxa"/>
            <w:vAlign w:val="bottom"/>
            <w:tcBorders>
              <w:top w:val="single" w:sz="8" w:color="E3E3E3"/>
            </w:tcBorders>
          </w:tcPr>
          <w:p>
            <w:pPr>
              <w:spacing w:after="0"/>
              <w:rPr>
                <w:sz w:val="19"/>
                <w:szCs w:val="19"/>
                <w:color w:val="auto"/>
              </w:rPr>
            </w:pPr>
          </w:p>
        </w:tc>
        <w:tc>
          <w:tcPr>
            <w:tcW w:w="20" w:type="dxa"/>
            <w:vAlign w:val="bottom"/>
            <w:tcBorders>
              <w:top w:val="single" w:sz="8" w:color="E3E3E3"/>
            </w:tcBorders>
          </w:tcPr>
          <w:p>
            <w:pPr>
              <w:spacing w:after="0"/>
              <w:rPr>
                <w:sz w:val="19"/>
                <w:szCs w:val="19"/>
                <w:color w:val="auto"/>
              </w:rPr>
            </w:pPr>
          </w:p>
        </w:tc>
        <w:tc>
          <w:tcPr>
            <w:tcW w:w="1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7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560" w:type="dxa"/>
            <w:vAlign w:val="bottom"/>
            <w:tcBorders>
              <w:top w:val="single" w:sz="8" w:color="E3E3E3"/>
              <w:bottom w:val="single" w:sz="8" w:color="E3E3E3"/>
            </w:tcBorders>
            <w:shd w:val="clear" w:color="auto" w:fill="E3E3E3"/>
          </w:tcPr>
          <w:p>
            <w:pPr>
              <w:spacing w:after="0" w:line="210" w:lineRule="exact"/>
              <w:rPr>
                <w:sz w:val="20"/>
                <w:szCs w:val="20"/>
                <w:color w:val="auto"/>
              </w:rPr>
            </w:pPr>
            <w:r>
              <w:rPr>
                <w:rFonts w:ascii="Times New Roman" w:cs="Times New Roman" w:eastAsia="Times New Roman" w:hAnsi="Times New Roman"/>
                <w:sz w:val="20"/>
                <w:szCs w:val="20"/>
                <w:color w:val="auto"/>
              </w:rPr>
              <w:t>Balance as of September 30, 2024</w:t>
            </w: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c>
          <w:tcPr>
            <w:tcW w:w="20" w:type="dxa"/>
            <w:vAlign w:val="bottom"/>
            <w:tcBorders>
              <w:top w:val="single" w:sz="8" w:color="E3E3E3"/>
              <w:bottom w:val="single" w:sz="8" w:color="E3E3E3"/>
            </w:tcBorders>
            <w:shd w:val="clear" w:color="auto" w:fill="E3E3E3"/>
          </w:tcPr>
          <w:p>
            <w:pPr>
              <w:spacing w:after="0"/>
              <w:rPr>
                <w:sz w:val="23"/>
                <w:szCs w:val="23"/>
                <w:color w:val="auto"/>
              </w:rPr>
            </w:pPr>
          </w:p>
        </w:tc>
        <w:tc>
          <w:tcPr>
            <w:tcW w:w="100" w:type="dxa"/>
            <w:vAlign w:val="bottom"/>
            <w:tcBorders>
              <w:top w:val="single" w:sz="8" w:color="auto"/>
              <w:bottom w:val="single" w:sz="8" w:color="E3E3E3"/>
            </w:tcBorders>
            <w:shd w:val="clear" w:color="auto" w:fill="E3E3E3"/>
          </w:tcPr>
          <w:p>
            <w:pPr>
              <w:spacing w:after="0"/>
              <w:rPr>
                <w:sz w:val="23"/>
                <w:szCs w:val="23"/>
                <w:color w:val="auto"/>
              </w:rPr>
            </w:pPr>
          </w:p>
        </w:tc>
        <w:tc>
          <w:tcPr>
            <w:tcW w:w="1300" w:type="dxa"/>
            <w:vAlign w:val="bottom"/>
            <w:tcBorders>
              <w:top w:val="single" w:sz="8" w:color="auto"/>
              <w:bottom w:val="single" w:sz="8" w:color="E3E3E3"/>
            </w:tcBorders>
            <w:shd w:val="clear" w:color="auto" w:fill="E3E3E3"/>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E3E3E3"/>
            </w:tcBorders>
          </w:tcPr>
          <w:p>
            <w:pPr>
              <w:spacing w:after="0"/>
              <w:rPr>
                <w:sz w:val="23"/>
                <w:szCs w:val="23"/>
                <w:color w:val="auto"/>
              </w:rPr>
            </w:pP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c>
          <w:tcPr>
            <w:tcW w:w="20" w:type="dxa"/>
            <w:vAlign w:val="bottom"/>
            <w:tcBorders>
              <w:top w:val="single" w:sz="8" w:color="E3E3E3"/>
              <w:bottom w:val="single" w:sz="8" w:color="E3E3E3"/>
            </w:tcBorders>
            <w:shd w:val="clear" w:color="auto" w:fill="E3E3E3"/>
          </w:tcPr>
          <w:p>
            <w:pPr>
              <w:spacing w:after="0"/>
              <w:rPr>
                <w:sz w:val="23"/>
                <w:szCs w:val="23"/>
                <w:color w:val="auto"/>
              </w:rPr>
            </w:pPr>
          </w:p>
        </w:tc>
        <w:tc>
          <w:tcPr>
            <w:tcW w:w="100" w:type="dxa"/>
            <w:vAlign w:val="bottom"/>
            <w:tcBorders>
              <w:top w:val="single" w:sz="8" w:color="auto"/>
              <w:bottom w:val="single" w:sz="8" w:color="E3E3E3"/>
            </w:tcBorders>
            <w:shd w:val="clear" w:color="auto" w:fill="E3E3E3"/>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300" w:type="dxa"/>
            <w:vAlign w:val="bottom"/>
            <w:tcBorders>
              <w:top w:val="single" w:sz="8" w:color="auto"/>
              <w:bottom w:val="single" w:sz="8" w:color="E3E3E3"/>
            </w:tcBorders>
            <w:shd w:val="clear" w:color="auto" w:fill="E3E3E3"/>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3E3E3"/>
              <w:bottom w:val="single" w:sz="8" w:color="E3E3E3"/>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line="218" w:lineRule="exact"/>
              <w:rPr>
                <w:sz w:val="20"/>
                <w:szCs w:val="20"/>
                <w:color w:val="auto"/>
              </w:rPr>
            </w:pPr>
            <w:r>
              <w:rPr>
                <w:rFonts w:ascii="Times New Roman" w:cs="Times New Roman" w:eastAsia="Times New Roman" w:hAnsi="Times New Roman"/>
                <w:sz w:val="20"/>
                <w:szCs w:val="20"/>
                <w:color w:val="auto"/>
              </w:rPr>
              <w:t>Balance as of December 31, 2024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vMerge w:val="restart"/>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E3E3E3"/>
            </w:tcBorders>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top w:val="single" w:sz="8" w:color="auto"/>
            </w:tcBorders>
            <w:vMerge w:val="restart"/>
          </w:tcPr>
          <w:p>
            <w:pPr>
              <w:jc w:val="right"/>
              <w:spacing w:after="0" w:line="218"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-1186815</wp:posOffset>
                </wp:positionV>
                <wp:extent cx="486854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854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93.4499pt" to="383.55pt,-93.4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-1186815</wp:posOffset>
                </wp:positionV>
                <wp:extent cx="13716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93.4499pt" to="464.6pt,-93.4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6793230</wp:posOffset>
                </wp:positionH>
                <wp:positionV relativeFrom="paragraph">
                  <wp:posOffset>-1186815</wp:posOffset>
                </wp:positionV>
                <wp:extent cx="6858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4.9pt,-93.4499pt" to="540.3pt,-93.4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5763260</wp:posOffset>
                </wp:positionH>
                <wp:positionV relativeFrom="paragraph">
                  <wp:posOffset>-569595</wp:posOffset>
                </wp:positionV>
                <wp:extent cx="13716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8pt,-44.8499pt" to="464.6pt,-44.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-404495</wp:posOffset>
                </wp:positionV>
                <wp:extent cx="685927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4">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31.8499pt" to="540.3pt,-31.8499pt" o:allowincell="f" strokecolor="#FFFFFF" strokeweight="2.52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-26670</wp:posOffset>
                </wp:positionV>
                <wp:extent cx="685927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9270" cy="4763"/>
                        </a:xfrm>
                        <a:prstGeom prst="line">
                          <a:avLst/>
                        </a:prstGeom>
                        <a:solidFill>
                          <a:srgbClr val="FFFFFF"/>
                        </a:solidFill>
                        <a:ln w="32003">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0999pt" to="540.3pt,-2.0999pt" o:allowincell="f" strokecolor="#FFFFFF" strokeweight="2.5199pt"/>
            </w:pict>
          </mc:Fallback>
        </mc:AlternateConten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See Note 2 for additional information regarding common stock warrants and associated warrant liability.</w:t>
      </w: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108 / 117</w:t>
      </w:r>
    </w:p>
    <w:p>
      <w:pPr>
        <w:sectPr>
          <w:pgSz w:w="12240" w:h="15840" w:orient="portrait"/>
          <w:cols w:equalWidth="0" w:num="1">
            <w:col w:w="10800"/>
          </w:cols>
          <w:pgMar w:left="720" w:top="788" w:right="720" w:bottom="0" w:gutter="0" w:footer="0" w:header="0"/>
        </w:sectPr>
      </w:pPr>
    </w:p>
    <w:bookmarkStart w:id="108" w:name="page109"/>
    <w:bookmarkEnd w:id="108"/>
    <w:p>
      <w:pPr>
        <w:ind w:left="160"/>
        <w:spacing w:after="0"/>
        <w:rPr>
          <w:sz w:val="20"/>
          <w:szCs w:val="20"/>
          <w:color w:val="auto"/>
        </w:rPr>
      </w:pPr>
      <w:r>
        <w:rPr>
          <w:rFonts w:ascii="Times New Roman" w:cs="Times New Roman" w:eastAsia="Times New Roman" w:hAnsi="Times New Roman"/>
          <w:sz w:val="20"/>
          <w:szCs w:val="20"/>
          <w:b w:val="1"/>
          <w:bCs w:val="1"/>
          <w:color w:val="auto"/>
        </w:rPr>
        <w:t>14. Restructuring Activities</w:t>
      </w:r>
    </w:p>
    <w:p>
      <w:pPr>
        <w:spacing w:after="0" w:line="235" w:lineRule="exact"/>
        <w:rPr>
          <w:sz w:val="20"/>
          <w:szCs w:val="20"/>
          <w:color w:val="auto"/>
        </w:rPr>
      </w:pPr>
    </w:p>
    <w:p>
      <w:pPr>
        <w:ind w:left="160" w:right="140" w:firstLine="360"/>
        <w:spacing w:after="0" w:line="277" w:lineRule="auto"/>
        <w:rPr>
          <w:sz w:val="20"/>
          <w:szCs w:val="20"/>
          <w:color w:val="auto"/>
        </w:rPr>
      </w:pPr>
      <w:r>
        <w:rPr>
          <w:rFonts w:ascii="Times New Roman" w:cs="Times New Roman" w:eastAsia="Times New Roman" w:hAnsi="Times New Roman"/>
          <w:sz w:val="20"/>
          <w:szCs w:val="20"/>
          <w:color w:val="auto"/>
        </w:rPr>
        <w:t>On January 7, 2025, the Company announced a reduction in its workforce by 10 employees, a reduction of 33% (the “Workforce Reduction”). The Company communicated the Workforce Reduction to affected employees on January 7, 2025</w:t>
      </w:r>
      <w:r>
        <w:rPr>
          <w:rFonts w:ascii="Times New Roman" w:cs="Times New Roman" w:eastAsia="Times New Roman" w:hAnsi="Times New Roman"/>
          <w:sz w:val="20"/>
          <w:szCs w:val="20"/>
          <w:i w:val="1"/>
          <w:iCs w:val="1"/>
          <w:color w:val="auto"/>
        </w:rPr>
        <w:t>.</w:t>
      </w:r>
    </w:p>
    <w:p>
      <w:pPr>
        <w:spacing w:after="0" w:line="160" w:lineRule="exact"/>
        <w:rPr>
          <w:sz w:val="20"/>
          <w:szCs w:val="20"/>
          <w:color w:val="auto"/>
        </w:rPr>
      </w:pPr>
    </w:p>
    <w:p>
      <w:pPr>
        <w:ind w:left="160" w:right="20" w:firstLine="360"/>
        <w:spacing w:after="0" w:line="257" w:lineRule="auto"/>
        <w:rPr>
          <w:sz w:val="20"/>
          <w:szCs w:val="20"/>
          <w:color w:val="auto"/>
        </w:rPr>
      </w:pPr>
      <w:r>
        <w:rPr>
          <w:rFonts w:ascii="Times New Roman" w:cs="Times New Roman" w:eastAsia="Times New Roman" w:hAnsi="Times New Roman"/>
          <w:sz w:val="20"/>
          <w:szCs w:val="20"/>
          <w:color w:val="auto"/>
        </w:rPr>
        <w:t>The Company incurred approximately $0.4 million of one-time costs in connection with the Workforce Reduction, primarily related to severance payments. The Company's Workforce Reduction was completed, and the associated costs and cash payments were made, during the first quarter of 2025.</w:t>
      </w:r>
    </w:p>
    <w:p>
      <w:pPr>
        <w:spacing w:after="0" w:line="200" w:lineRule="exact"/>
        <w:rPr>
          <w:sz w:val="20"/>
          <w:szCs w:val="20"/>
          <w:color w:val="auto"/>
        </w:rPr>
      </w:pPr>
    </w:p>
    <w:p>
      <w:pPr>
        <w:spacing w:after="0" w:line="25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i w:val="1"/>
          <w:iCs w:val="1"/>
          <w:color w:val="auto"/>
        </w:rPr>
        <w:t>Changes in and Disagreements with Accountants on Accounting and Financial Disclosure</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00" w:lineRule="exact"/>
        <w:rPr>
          <w:sz w:val="20"/>
          <w:szCs w:val="20"/>
          <w:color w:val="auto"/>
        </w:rPr>
      </w:pPr>
    </w:p>
    <w:p>
      <w:pPr>
        <w:ind w:left="18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20"/>
          <w:szCs w:val="20"/>
          <w:b w:val="1"/>
          <w:bCs w:val="1"/>
          <w:i w:val="1"/>
          <w:iCs w:val="1"/>
          <w:color w:val="auto"/>
        </w:rPr>
        <w:t>Controls and Procedures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p>
    <w:p>
      <w:pPr>
        <w:spacing w:after="0" w:line="226" w:lineRule="exact"/>
        <w:rPr>
          <w:sz w:val="20"/>
          <w:szCs w:val="20"/>
          <w:color w:val="auto"/>
        </w:rPr>
      </w:pPr>
    </w:p>
    <w:p>
      <w:pPr>
        <w:jc w:val="both"/>
        <w:ind w:left="180" w:firstLine="360"/>
        <w:spacing w:after="0" w:line="246"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evaluated the effectiveness of our disclosure controls and procedures as of the end of the period covered by this Annual Report on Form 10-K. Based on this evaluation, our Chief Executive Officer and our Chief Financial Officer have concluded that our disclosure controls and procedures were effective to ensure that information we are required to disclose in reports that we file or submit under the Exchange Act is recorded, processed, summarized and reported within the time periods specified in the Securities and Exchange Commission, or SEC, rules and forms and that such information is accumulated and communicated to management as appropriate to allow timely decisions regarding required disclosures.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i w:val="1"/>
          <w:iCs w:val="1"/>
          <w:color w:val="auto"/>
        </w:rPr>
        <w:t>Management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 annual report on internal control over financial reporting.</w:t>
      </w:r>
    </w:p>
    <w:p>
      <w:pPr>
        <w:spacing w:after="0" w:line="231" w:lineRule="exact"/>
        <w:rPr>
          <w:sz w:val="20"/>
          <w:szCs w:val="20"/>
          <w:color w:val="auto"/>
        </w:rPr>
      </w:pPr>
    </w:p>
    <w:p>
      <w:pPr>
        <w:jc w:val="both"/>
        <w:ind w:left="180" w:firstLine="360"/>
        <w:spacing w:after="0" w:line="252"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our financial reporting. Our management has assessed the effectiveness of internal control over financial reporting as of December 31, 2025. Our assessment was based on criteria set forth by the Committee of Sponsoring Organizations of the Treadway Commission, or COSO, in Internal Control-Integrated Framework (2013 Framework).</w:t>
      </w:r>
    </w:p>
    <w:p>
      <w:pPr>
        <w:spacing w:after="0" w:line="184" w:lineRule="exact"/>
        <w:rPr>
          <w:sz w:val="20"/>
          <w:szCs w:val="20"/>
          <w:color w:val="auto"/>
        </w:rPr>
      </w:pPr>
    </w:p>
    <w:p>
      <w:pPr>
        <w:jc w:val="both"/>
        <w:ind w:left="180" w:firstLine="360"/>
        <w:spacing w:after="0" w:line="258" w:lineRule="auto"/>
        <w:rPr>
          <w:sz w:val="20"/>
          <w:szCs w:val="20"/>
          <w:color w:val="auto"/>
        </w:rPr>
      </w:pPr>
      <w:r>
        <w:rPr>
          <w:rFonts w:ascii="Times New Roman" w:cs="Times New Roman" w:eastAsia="Times New Roman" w:hAnsi="Times New Roman"/>
          <w:sz w:val="20"/>
          <w:szCs w:val="20"/>
          <w:color w:val="auto"/>
        </w:rPr>
        <w:t>Our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w:t>
      </w:r>
    </w:p>
    <w:p>
      <w:pPr>
        <w:spacing w:after="0" w:line="182" w:lineRule="exact"/>
        <w:rPr>
          <w:sz w:val="20"/>
          <w:szCs w:val="20"/>
          <w:color w:val="auto"/>
        </w:rPr>
      </w:pPr>
    </w:p>
    <w:p>
      <w:pPr>
        <w:ind w:left="920" w:hanging="370"/>
        <w:spacing w:after="0" w:line="258" w:lineRule="auto"/>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our transactions and dispositions of our assets;</w:t>
      </w:r>
    </w:p>
    <w:p>
      <w:pPr>
        <w:spacing w:after="0" w:line="1" w:lineRule="exact"/>
        <w:rPr>
          <w:rFonts w:ascii="Times New Roman" w:cs="Times New Roman" w:eastAsia="Times New Roman" w:hAnsi="Times New Roman"/>
          <w:sz w:val="20"/>
          <w:szCs w:val="20"/>
          <w:color w:val="auto"/>
        </w:rPr>
      </w:pPr>
    </w:p>
    <w:p>
      <w:pPr>
        <w:jc w:val="both"/>
        <w:ind w:left="920" w:hanging="370"/>
        <w:spacing w:after="0" w:line="243" w:lineRule="auto"/>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consolidated financial statements in accordance with generally accepted accounting principles, and that our receipts and expenditures are being made only in accordance with authorizations of our management and board of directors; and</w:t>
      </w:r>
    </w:p>
    <w:p>
      <w:pPr>
        <w:spacing w:after="0" w:line="2" w:lineRule="exact"/>
        <w:rPr>
          <w:rFonts w:ascii="Times New Roman" w:cs="Times New Roman" w:eastAsia="Times New Roman" w:hAnsi="Times New Roman"/>
          <w:sz w:val="20"/>
          <w:szCs w:val="20"/>
          <w:color w:val="auto"/>
        </w:rPr>
      </w:pPr>
    </w:p>
    <w:p>
      <w:pPr>
        <w:ind w:left="920" w:right="20" w:hanging="370"/>
        <w:spacing w:after="0" w:line="250" w:lineRule="auto"/>
        <w:tabs>
          <w:tab w:leader="none" w:pos="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the consolidated financial statements.</w:t>
      </w:r>
    </w:p>
    <w:p>
      <w:pPr>
        <w:spacing w:after="0" w:line="190" w:lineRule="exact"/>
        <w:rPr>
          <w:sz w:val="20"/>
          <w:szCs w:val="20"/>
          <w:color w:val="auto"/>
        </w:rPr>
      </w:pPr>
    </w:p>
    <w:p>
      <w:pPr>
        <w:jc w:val="both"/>
        <w:ind w:left="180" w:firstLine="360"/>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left="180" w:right="20" w:firstLine="360"/>
        <w:spacing w:after="0" w:line="274" w:lineRule="auto"/>
        <w:rPr>
          <w:sz w:val="20"/>
          <w:szCs w:val="20"/>
          <w:color w:val="auto"/>
        </w:rPr>
      </w:pPr>
      <w:r>
        <w:rPr>
          <w:rFonts w:ascii="Times New Roman" w:cs="Times New Roman" w:eastAsia="Times New Roman" w:hAnsi="Times New Roman"/>
          <w:sz w:val="20"/>
          <w:szCs w:val="20"/>
          <w:color w:val="auto"/>
        </w:rPr>
        <w:t>Based on it’s assessment under the COSO framework, management concluded that our internal control over financial reporting as of December 31, 2025 was effective.</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229" w:lineRule="exact"/>
        <w:rPr>
          <w:sz w:val="20"/>
          <w:szCs w:val="20"/>
          <w:color w:val="auto"/>
        </w:rPr>
      </w:pPr>
    </w:p>
    <w:p>
      <w:pPr>
        <w:jc w:val="both"/>
        <w:ind w:left="180" w:firstLine="360"/>
        <w:spacing w:after="0" w:line="277" w:lineRule="auto"/>
        <w:rPr>
          <w:sz w:val="20"/>
          <w:szCs w:val="20"/>
          <w:color w:val="auto"/>
        </w:rPr>
      </w:pPr>
      <w:r>
        <w:rPr>
          <w:rFonts w:ascii="Times New Roman" w:cs="Times New Roman" w:eastAsia="Times New Roman" w:hAnsi="Times New Roman"/>
          <w:sz w:val="20"/>
          <w:szCs w:val="20"/>
          <w:color w:val="auto"/>
        </w:rPr>
        <w:t>There was no change in our internal control over financial reporting that occurred during the quarter ended December 31, 2025 that has materially affected, or is reasonably likely to materially affect, our internal control over financial reporting.</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101</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4"/>
          <w:szCs w:val="24"/>
          <w:color w:val="auto"/>
        </w:rPr>
        <w:t>109 / 117</w:t>
      </w:r>
    </w:p>
    <w:p>
      <w:pPr>
        <w:sectPr>
          <w:pgSz w:w="12240" w:h="15840" w:orient="portrait"/>
          <w:cols w:equalWidth="0" w:num="1">
            <w:col w:w="10980"/>
          </w:cols>
          <w:pgMar w:left="540" w:top="1288" w:right="720" w:bottom="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110 / 117</w:t>
      </w:r>
    </w:p>
    <w:p>
      <w:pPr>
        <w:sectPr>
          <w:pgSz w:w="12240" w:h="15840" w:orient="portrait"/>
          <w:cols w:equalWidth="0" w:num="1">
            <w:col w:w="10080"/>
          </w:cols>
          <w:pgMar w:left="720" w:top="1440" w:right="1440" w:bottom="0" w:gutter="0" w:footer="0" w:header="0"/>
        </w:sectPr>
      </w:pPr>
    </w:p>
    <w:bookmarkStart w:id="110" w:name="page111"/>
    <w:bookmarkEnd w:id="110"/>
    <w:p>
      <w:pPr>
        <w:ind w:right="80" w:firstLine="360"/>
        <w:spacing w:after="0" w:line="257" w:lineRule="auto"/>
        <w:rPr>
          <w:sz w:val="20"/>
          <w:szCs w:val="20"/>
          <w:color w:val="auto"/>
        </w:rPr>
      </w:pPr>
      <w:r>
        <w:rPr>
          <w:rFonts w:ascii="Times New Roman" w:cs="Times New Roman" w:eastAsia="Times New Roman" w:hAnsi="Times New Roman"/>
          <w:sz w:val="20"/>
          <w:szCs w:val="20"/>
          <w:color w:val="auto"/>
        </w:rPr>
        <w:t>This report does not include an attestation report of our registered public accounting firm regarding internal control over financial reporting. As a “smaller reporting company,” management’s report is not subject to attestation by our registered public accounting firm.</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20"/>
          <w:szCs w:val="20"/>
          <w:b w:val="1"/>
          <w:bCs w:val="1"/>
          <w:i w:val="1"/>
          <w:iCs w:val="1"/>
          <w:color w:val="auto"/>
        </w:rPr>
        <w:t>Other Information</w:t>
      </w:r>
    </w:p>
    <w:p>
      <w:pPr>
        <w:spacing w:after="0" w:line="235" w:lineRule="exact"/>
        <w:rPr>
          <w:sz w:val="20"/>
          <w:szCs w:val="20"/>
          <w:color w:val="auto"/>
        </w:rPr>
      </w:pPr>
    </w:p>
    <w:p>
      <w:pPr>
        <w:jc w:val="both"/>
        <w:ind w:left="20" w:firstLine="360"/>
        <w:spacing w:after="0" w:line="257" w:lineRule="auto"/>
        <w:rPr>
          <w:sz w:val="20"/>
          <w:szCs w:val="20"/>
          <w:color w:val="auto"/>
        </w:rPr>
      </w:pPr>
      <w:r>
        <w:rPr>
          <w:rFonts w:ascii="Times New Roman" w:cs="Times New Roman" w:eastAsia="Times New Roman" w:hAnsi="Times New Roman"/>
          <w:sz w:val="20"/>
          <w:szCs w:val="20"/>
          <w:color w:val="auto"/>
        </w:rPr>
        <w:t>During the quarter ended December 31, 2025, none of our directors or officers (as defined in Rule 16a-1(f) of the Exchange Act) informed us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i w:val="1"/>
          <w:iCs w:val="1"/>
          <w:color w:val="auto"/>
        </w:rPr>
        <w:t>Disclosure Regarding Foreign Jurisdictions that Prevent Inspection</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None</w:t>
      </w:r>
      <w:r>
        <w:rPr>
          <w:rFonts w:ascii="Times New Roman" w:cs="Times New Roman" w:eastAsia="Times New Roman" w:hAnsi="Times New Roman"/>
          <w:sz w:val="20"/>
          <w:szCs w:val="20"/>
          <w:b w:val="1"/>
          <w:bCs w:val="1"/>
          <w:color w:val="auto"/>
        </w:rPr>
        <w:t>.</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232" w:lineRule="exact"/>
        <w:rPr>
          <w:sz w:val="20"/>
          <w:szCs w:val="20"/>
          <w:color w:val="auto"/>
        </w:rPr>
      </w:pPr>
    </w:p>
    <w:p>
      <w:pPr>
        <w:jc w:val="both"/>
        <w:ind w:left="20" w:firstLine="360"/>
        <w:spacing w:after="0" w:line="258" w:lineRule="auto"/>
        <w:rPr>
          <w:sz w:val="20"/>
          <w:szCs w:val="20"/>
          <w:color w:val="auto"/>
        </w:rPr>
      </w:pPr>
      <w:r>
        <w:rPr>
          <w:rFonts w:ascii="Times New Roman" w:cs="Times New Roman" w:eastAsia="Times New Roman" w:hAnsi="Times New Roman"/>
          <w:sz w:val="20"/>
          <w:szCs w:val="20"/>
          <w:color w:val="auto"/>
        </w:rPr>
        <w:t>The information regarding our directors (other than the biographies below), executive officers, director nomination process and the audit committee of the Board is incorporated by reference from “Directors and Executive Officers” in our Proxy Statement for our 2026 Annual Meeting of Stockholders.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Biographies of Directors and Executive Officers</w:t>
      </w:r>
    </w:p>
    <w:p>
      <w:pPr>
        <w:spacing w:after="0" w:line="232" w:lineRule="exact"/>
        <w:rPr>
          <w:sz w:val="20"/>
          <w:szCs w:val="20"/>
          <w:color w:val="auto"/>
        </w:rPr>
      </w:pPr>
    </w:p>
    <w:p>
      <w:pPr>
        <w:jc w:val="both"/>
        <w:ind w:left="20" w:firstLine="360"/>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Richard J. Barry </w:t>
      </w:r>
      <w:r>
        <w:rPr>
          <w:rFonts w:ascii="Times New Roman" w:cs="Times New Roman" w:eastAsia="Times New Roman" w:hAnsi="Times New Roman"/>
          <w:sz w:val="19"/>
          <w:szCs w:val="19"/>
          <w:color w:val="auto"/>
        </w:rPr>
        <w:t>has served as a director since June 2021 and was appointed Chief Executive Officer in September 2024. Mr. Barry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served as Executive Chairman of the Board beginning July 2024 until his appointment as Chief Executive Officer. Since June 2015, Mr. Barry has also served as a director of Sarepta Therapeutics, Inc., (Nasdaq: SRPT). Mr. Barry has extensive experience in the investment management business. He was a founding member of Eastbourne Capital Management LLC, and served as a Managing General Partner and Portfolio Manager from 1999 to its close in 2010. Prior to Eastbourne, Mr. Barry was a Portfolio Manager and Managing Director of Robertson Stephens Investment Management. Mr. Barry holds a Bachelor of Arts from Pennsylvania State University.</w:t>
      </w:r>
    </w:p>
    <w:p>
      <w:pPr>
        <w:spacing w:after="0" w:line="174" w:lineRule="exact"/>
        <w:rPr>
          <w:sz w:val="20"/>
          <w:szCs w:val="20"/>
          <w:color w:val="auto"/>
        </w:rPr>
      </w:pPr>
    </w:p>
    <w:p>
      <w:pPr>
        <w:jc w:val="both"/>
        <w:ind w:left="20"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R. Christopher Cook </w:t>
      </w:r>
      <w:r>
        <w:rPr>
          <w:rFonts w:ascii="Times New Roman" w:cs="Times New Roman" w:eastAsia="Times New Roman" w:hAnsi="Times New Roman"/>
          <w:sz w:val="20"/>
          <w:szCs w:val="20"/>
          <w:color w:val="auto"/>
        </w:rPr>
        <w:t>was appointed Chief Operating and Legal Officer of the Company in April 2025. He joined the Company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Senior Vice President and General Counsel in October 2022. He previously served, since 2017, as the Global Head of Litigation and Government Investigations for Alcon, a publicly traded medical device and pharmaceutical company, as well as the Vice President and division General Counsel for Walmart Central America in San Jose, Costa Rica. Mr. Cook also spent seventeen years at Jones Day, where he was a litigation partner in the firm's Washington, DC and Chicago offices. He served as an Assistant United States Attorney in Chicago and graduated from Harvard Law School.</w:t>
      </w:r>
    </w:p>
    <w:p>
      <w:pPr>
        <w:spacing w:after="0" w:line="190" w:lineRule="exact"/>
        <w:rPr>
          <w:sz w:val="20"/>
          <w:szCs w:val="20"/>
          <w:color w:val="auto"/>
        </w:rPr>
      </w:pPr>
    </w:p>
    <w:p>
      <w:pPr>
        <w:jc w:val="both"/>
        <w:ind w:left="20"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Eric Schoen </w:t>
      </w:r>
      <w:r>
        <w:rPr>
          <w:rFonts w:ascii="Times New Roman" w:cs="Times New Roman" w:eastAsia="Times New Roman" w:hAnsi="Times New Roman"/>
          <w:sz w:val="20"/>
          <w:szCs w:val="20"/>
          <w:color w:val="auto"/>
        </w:rPr>
        <w:t>has served as Chief Financial Officer since 2018. Prior to joining the Company, Mr. Schoen served in numerous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leadership roles. Most recently, he served as Vice President, Senior Vice President, Finance and Chief Accounting Officer of Aspira Women’s Health Inc. (formerly Vermillion, Inc.), a publicly-held women’s health company, from 2011 to 2017. Mr. Schoen also began his career and spent nine years with PricewaterhouseCoopers in the audit and assurance, transaction services and global capital markets practices. Mr. Schoen received his B.S. in Finance from Santa Clara University.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color w:val="auto"/>
        </w:rPr>
        <w:t>111 / 117</w:t>
      </w:r>
    </w:p>
    <w:p>
      <w:pPr>
        <w:sectPr>
          <w:pgSz w:w="12240" w:h="15840" w:orient="portrait"/>
          <w:cols w:equalWidth="0" w:num="1">
            <w:col w:w="10820"/>
          </w:cols>
          <w:pgMar w:left="700" w:top="788" w:right="720" w:bottom="0" w:gutter="0" w:footer="0" w:header="0"/>
        </w:sectPr>
      </w:pPr>
    </w:p>
    <w:bookmarkStart w:id="111" w:name="page112"/>
    <w:bookmarkEnd w:id="111"/>
    <w:p>
      <w:pPr>
        <w:jc w:val="both"/>
        <w:ind w:firstLine="36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Robert Anderson, Jr. </w:t>
      </w:r>
      <w:r>
        <w:rPr>
          <w:rFonts w:ascii="Times New Roman" w:cs="Times New Roman" w:eastAsia="Times New Roman" w:hAnsi="Times New Roman"/>
          <w:sz w:val="20"/>
          <w:szCs w:val="20"/>
          <w:color w:val="auto"/>
        </w:rPr>
        <w:t>has served as a director since December 2023. Mr. Anderson has decades of operational experience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cybersecurity, counterintelligence, economic espionage and critical incident response and management. Mr. Anderson previously led more than 20,000 FBI employees as the bureau’s Executive Assistant Director of the Criminal, Cyber, Response and Services Branch— the No. 3 position in the organization. From January 2025 until March 2025, Mr. Anderson was a managing partner at Oak Truss Group (formerly Cyber Defense Labs), an advisory firm focused on cybersecurity, where he served as Chief Executive Officer (March 2019 – December 2024) and Chairman of the Board (January 2022 – December 2024). Mr. Anderson holds a Bachelor of Science and a Master in Public Administration from Wilmington University.</w:t>
      </w:r>
    </w:p>
    <w:p>
      <w:pPr>
        <w:spacing w:after="0" w:line="189" w:lineRule="exact"/>
        <w:rPr>
          <w:sz w:val="20"/>
          <w:szCs w:val="20"/>
          <w:color w:val="auto"/>
        </w:rPr>
      </w:pPr>
    </w:p>
    <w:p>
      <w:pPr>
        <w:jc w:val="both"/>
        <w:ind w:firstLine="36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Dawn Bir </w:t>
      </w:r>
      <w:r>
        <w:rPr>
          <w:rFonts w:ascii="Times New Roman" w:cs="Times New Roman" w:eastAsia="Times New Roman" w:hAnsi="Times New Roman"/>
          <w:sz w:val="20"/>
          <w:szCs w:val="20"/>
          <w:color w:val="auto"/>
        </w:rPr>
        <w:t>has served as a Director since October 2025. Dawn brings over 30 years of leadership in biotechnology with emerging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established companies, and diverse experiences including clinical development, commercial, medical, strategic business planning, financial and operations. During 2025, she served as Interim President and CEO of Geron Corporation (Nasdaq: GERN). Before this role, Dawn was Executive Vice President and Chief Commercial Officer at Reata Pharmaceuticals, through the development and commercialization of their first drug and the company's $7.3 billion acquisition by Biogen in 2023. Previously, she was Vice President at Pharmacyclics through the company's first drug approval, launch, and its $21 billion acquisition by AbbVie in 2015. She currently holds board positions at Geron Corporation and Soleno Therapeutics (Nasdaq: SLNO), both with a focus on treatments for rare and serious diseases. Dawn holds a Bachelor of Science in Biology from Binghamton University in New York.</w:t>
      </w:r>
    </w:p>
    <w:p>
      <w:pPr>
        <w:spacing w:after="0" w:line="193"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Pierre Gravier </w:t>
      </w:r>
      <w:r>
        <w:rPr>
          <w:rFonts w:ascii="Times New Roman" w:cs="Times New Roman" w:eastAsia="Times New Roman" w:hAnsi="Times New Roman"/>
          <w:sz w:val="20"/>
          <w:szCs w:val="20"/>
          <w:color w:val="auto"/>
        </w:rPr>
        <w:t>has served as a director since December 2023. Since July 2023, Mr. Gravier has been the Chief Financial Officer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PTC Therapeutics, Inc., a publicly traded biotechnology company. From 2013 to July 2023, Mr. Gravier was previously Managing Director in the healthcare group of Perella Weinberg Partners, a leading global independent advisory firm that provides strategic, financial, and tactical advice in connection with executing mergers, acquisitions and other corporate strategies. Mr. Gravier holds a Master’s Degree in Finance from ESCP Business School and a Master of Science in Bioengineering from the University of Technology of Compiègne.</w:t>
      </w:r>
    </w:p>
    <w:p>
      <w:pPr>
        <w:spacing w:after="0" w:line="188"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Robert Z. Gussin, Ph.D</w:t>
      </w:r>
      <w:r>
        <w:rPr>
          <w:rFonts w:ascii="Times New Roman" w:cs="Times New Roman" w:eastAsia="Times New Roman" w:hAnsi="Times New Roman"/>
          <w:sz w:val="20"/>
          <w:szCs w:val="20"/>
          <w:color w:val="auto"/>
        </w:rPr>
        <w:t>. has served as a director since 2003. Dr. Gussin worked at Johnson &amp; Johnson for 26 years, most recently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Chief Scientific Officer and Corporate Vice President, Science and Technology from 1986 through his retirement in 2000. Dr. Gussin served on the board of directors of Duquesne University and the advisory boards of the Duquesne University Pharmacy School and the University of Michigan Medical School Department of Pharmacology. Dr. Gussin received his B.S. and M.S. degrees and D.Sc. with honors from Duquesne University and his Ph.D. in Pharmacology from the University of Michigan, Ann Arbor.</w:t>
      </w:r>
    </w:p>
    <w:p>
      <w:pPr>
        <w:spacing w:after="0" w:line="187" w:lineRule="exact"/>
        <w:rPr>
          <w:sz w:val="20"/>
          <w:szCs w:val="20"/>
          <w:color w:val="auto"/>
        </w:rPr>
      </w:pPr>
    </w:p>
    <w:p>
      <w:pPr>
        <w:jc w:val="both"/>
        <w:ind w:firstLine="36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Claude Nicaise, M.D. </w:t>
      </w:r>
      <w:r>
        <w:rPr>
          <w:rFonts w:ascii="Times New Roman" w:cs="Times New Roman" w:eastAsia="Times New Roman" w:hAnsi="Times New Roman"/>
          <w:sz w:val="20"/>
          <w:szCs w:val="20"/>
          <w:color w:val="auto"/>
        </w:rPr>
        <w:t>has served as a director since December 2023 and was named Chairman of the Board in September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2024. Since June 2015, Dr. Nicaise has also served as a director of Sarepta Therapeutics, Inc., (Nasdaq: SRPT). Since January 2021, Dr. Nicaise has served as a member of the board of directors of Gain Therapeutics. Since March 2021, Dr. Nicaise has served as a member of the board of directors of Chemomab Therapeutics Ltd. Dr. Nicaise has held clinical/regulatory leadership roles that have resulted in 14 new drug approvals in various diseases areas, including neuroscience. Dr. Nicaise is the founder of Clinical Regulatory Services, a company providing advice on clinical and regulatory matters to biotechnology companies. Dr. Nicaise also held the position of Senior Vice President, Head of R&amp;D, for Ovid Therapeutics Inc., a company that develops medicines for orphan diseases of the brain, from 2021 to 2023. Dr. Nicaise was a Senior Vice President of Strategic Development and Global Regulatory Affairs at Alexion Pharmaceuticals from 2008 to 2014. From 1983 to 2008, Dr. Nicaise served in various positions of increasing responsibility at Bristol-Myers Squibb, including senior positions such as Vice President of Global Development and Vice-President of Worldwide Regulatory Science and Strategy. Dr. Nicaise received his M.D. from the Université Libre de Bruxelles in Belgium.</w:t>
      </w:r>
    </w:p>
    <w:p>
      <w:pPr>
        <w:spacing w:after="0" w:line="199" w:lineRule="exact"/>
        <w:rPr>
          <w:sz w:val="20"/>
          <w:szCs w:val="20"/>
          <w:color w:val="auto"/>
        </w:rPr>
      </w:pPr>
    </w:p>
    <w:p>
      <w:pPr>
        <w:jc w:val="both"/>
        <w:ind w:firstLine="360"/>
        <w:spacing w:after="0" w:line="247" w:lineRule="auto"/>
        <w:rPr>
          <w:sz w:val="20"/>
          <w:szCs w:val="20"/>
          <w:color w:val="auto"/>
        </w:rPr>
      </w:pPr>
      <w:r>
        <w:rPr>
          <w:rFonts w:ascii="Times New Roman" w:cs="Times New Roman" w:eastAsia="Times New Roman" w:hAnsi="Times New Roman"/>
          <w:sz w:val="20"/>
          <w:szCs w:val="20"/>
          <w:i w:val="1"/>
          <w:iCs w:val="1"/>
          <w:color w:val="auto"/>
        </w:rPr>
        <w:t>Michael J. 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Donnell, Esq</w:t>
      </w:r>
      <w:r>
        <w:rPr>
          <w:rFonts w:ascii="Times New Roman" w:cs="Times New Roman" w:eastAsia="Times New Roman" w:hAnsi="Times New Roman"/>
          <w:sz w:val="20"/>
          <w:szCs w:val="20"/>
          <w:color w:val="auto"/>
        </w:rPr>
        <w:t>. has served as a director since 1998. Mr. O’Donnell is employed at the law firm of Orrick Herrington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Sutcliffe LLP since June 2021 with the title Senior Partner. Orrick, Herrington &amp; Sutcliffe LLP provides legal services to the Company. Previously, Mr. O’Donnell was a member of Morrison &amp; Foerster LLP from 2011 to 2021. Mr. O’Donnell serves as corporate counsel to numerous public and private biopharmaceutical and life sciences companies. Previously, Mr. O’Donnell was a member of Wilson Sonsini Goodrich &amp; Rosati. Mr. O’Donnell received his J.D., cum laude, from Harvard University and his B.A. from Bucknell University, summa cum laude.</w:t>
      </w:r>
    </w:p>
    <w:p>
      <w:pPr>
        <w:spacing w:after="0" w:line="191" w:lineRule="exact"/>
        <w:rPr>
          <w:sz w:val="20"/>
          <w:szCs w:val="20"/>
          <w:color w:val="auto"/>
        </w:rPr>
      </w:pPr>
    </w:p>
    <w:p>
      <w:pPr>
        <w:jc w:val="both"/>
        <w:ind w:firstLine="36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Patrick J. Scannon, M.D., Ph.D. </w:t>
      </w:r>
      <w:r>
        <w:rPr>
          <w:rFonts w:ascii="Times New Roman" w:cs="Times New Roman" w:eastAsia="Times New Roman" w:hAnsi="Times New Roman"/>
          <w:sz w:val="20"/>
          <w:szCs w:val="20"/>
          <w:color w:val="auto"/>
        </w:rPr>
        <w:t>has served as a director since 2007. Dr. Scannon is one of the founders of XOMA. From 2006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2016, Dr. Scannon was Executive Vice President, Chief Biotechnology Officer of XOMA. From 1993 to 2006, Dr. Scannon served as Chief Scientific and Medical Officer of XOMA. Dr. Scannon retired from XOMA and resigned from XOMA’s board of directors in 2016. Dr. Scannon received his Ph.D. in organic chemistry from the University of California, Berkeley and his M.D. from the Medical College of Georgia.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112 / 117</w:t>
      </w:r>
    </w:p>
    <w:p>
      <w:pPr>
        <w:sectPr>
          <w:pgSz w:w="12240" w:h="15840" w:orient="portrait"/>
          <w:cols w:equalWidth="0" w:num="1">
            <w:col w:w="10800"/>
          </w:cols>
          <w:pgMar w:left="720" w:top="788" w:right="720" w:bottom="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b w:val="1"/>
          <w:bCs w:val="1"/>
          <w:color w:val="auto"/>
        </w:rPr>
        <w:t>Section 16(a) Beneficial Ownership Reporting Compliance</w:t>
      </w:r>
    </w:p>
    <w:p>
      <w:pPr>
        <w:spacing w:after="0" w:line="232"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20"/>
          <w:szCs w:val="20"/>
          <w:color w:val="auto"/>
        </w:rPr>
        <w:t>Section 16(a) of the Exchange Act requires our executive officers and directors and persons who own more than ten percent (10%) of a registered class of our equity securities to file reports of ownership and changes in ownership with the SEC. Executive officers, directors and greater than ten percent (10%) stockholders are required to furnish us with copies of all Section 16(a) forms they file. We believe all of our executive officers and directors complied with all applicable filing requirements during 2025.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We have adopted a Code of Ethics that applies to all of our directors, officers and employees, including our principal executive officer and principal financial officer. We publicize the Code of Ethics through posting the policy on our website, </w:t>
      </w:r>
      <w:r>
        <w:rPr>
          <w:rFonts w:ascii="Times New Roman" w:cs="Times New Roman" w:eastAsia="Times New Roman" w:hAnsi="Times New Roman"/>
          <w:sz w:val="20"/>
          <w:szCs w:val="20"/>
          <w:u w:val="single" w:color="auto"/>
          <w:color w:val="auto"/>
        </w:rPr>
        <w:t>http://www.filanatx.com</w:t>
      </w:r>
      <w:r>
        <w:rPr>
          <w:rFonts w:ascii="Times New Roman" w:cs="Times New Roman" w:eastAsia="Times New Roman" w:hAnsi="Times New Roman"/>
          <w:sz w:val="20"/>
          <w:szCs w:val="20"/>
          <w:color w:val="auto"/>
        </w:rPr>
        <w:t>. We will disclose on our website any waivers of, or amendments to, our Code of Ethics.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235"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referred to in Item 10 above where it appears under the heading “Executive Compensation and Other Matters.”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i w:val="1"/>
          <w:iCs w:val="1"/>
          <w:color w:val="auto"/>
        </w:rPr>
        <w:t>Security Ownership of Certain Beneficial Owners and Management and Related Stockholder Matters</w:t>
      </w:r>
    </w:p>
    <w:p>
      <w:pPr>
        <w:spacing w:after="0" w:line="2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20"/>
          <w:szCs w:val="20"/>
          <w:color w:val="auto"/>
        </w:rPr>
        <w:t>The information required by this Item regarding security ownership of certain beneficial owners and management is incorporated by reference from our definitive Proxy Statement referred to in Item 10 above where it appears under the heading “Security Ownership of Certain Beneficial Owners and Management.”</w:t>
      </w:r>
    </w:p>
    <w:p>
      <w:pPr>
        <w:spacing w:after="0" w:line="200" w:lineRule="exact"/>
        <w:rPr>
          <w:sz w:val="20"/>
          <w:szCs w:val="20"/>
          <w:color w:val="auto"/>
        </w:rPr>
      </w:pPr>
    </w:p>
    <w:p>
      <w:pPr>
        <w:spacing w:after="0" w:line="208" w:lineRule="exact"/>
        <w:rPr>
          <w:sz w:val="20"/>
          <w:szCs w:val="20"/>
          <w:color w:val="auto"/>
        </w:rPr>
      </w:pPr>
    </w:p>
    <w:p>
      <w:pPr>
        <w:jc w:val="both"/>
        <w:ind w:firstLine="3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securities authorized for issuance under our equity compensation plans as of December 31,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160" w:type="dxa"/>
            <w:vAlign w:val="bottom"/>
            <w:gridSpan w:val="4"/>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 w:type="dxa"/>
            <w:vAlign w:val="bottom"/>
          </w:tcPr>
          <w:p>
            <w:pPr>
              <w:spacing w:after="0"/>
              <w:rPr>
                <w:sz w:val="17"/>
                <w:szCs w:val="17"/>
                <w:color w:val="auto"/>
              </w:rPr>
            </w:pPr>
          </w:p>
        </w:tc>
        <w:tc>
          <w:tcPr>
            <w:tcW w:w="7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Securities to be</w:t>
            </w:r>
          </w:p>
        </w:tc>
        <w:tc>
          <w:tcPr>
            <w:tcW w:w="120" w:type="dxa"/>
            <w:vAlign w:val="bottom"/>
          </w:tcPr>
          <w:p>
            <w:pPr>
              <w:spacing w:after="0"/>
              <w:rPr>
                <w:sz w:val="20"/>
                <w:szCs w:val="20"/>
                <w:color w:val="auto"/>
              </w:rPr>
            </w:pPr>
          </w:p>
        </w:tc>
        <w:tc>
          <w:tcPr>
            <w:tcW w:w="202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Weighted Average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 w:type="dxa"/>
            <w:vAlign w:val="bottom"/>
          </w:tcPr>
          <w:p>
            <w:pPr>
              <w:spacing w:after="0"/>
              <w:rPr>
                <w:sz w:val="19"/>
                <w:szCs w:val="19"/>
                <w:color w:val="auto"/>
              </w:rPr>
            </w:pPr>
          </w:p>
        </w:tc>
        <w:tc>
          <w:tcPr>
            <w:tcW w:w="7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gridSpan w:val="3"/>
          </w:tcPr>
          <w:p>
            <w:pPr>
              <w:jc w:val="center"/>
              <w:ind w:right="300"/>
              <w:spacing w:after="0" w:line="228" w:lineRule="exact"/>
              <w:rPr>
                <w:sz w:val="20"/>
                <w:szCs w:val="20"/>
                <w:color w:val="auto"/>
              </w:rPr>
            </w:pPr>
            <w:r>
              <w:rPr>
                <w:rFonts w:ascii="Times New Roman" w:cs="Times New Roman" w:eastAsia="Times New Roman" w:hAnsi="Times New Roman"/>
                <w:sz w:val="20"/>
                <w:szCs w:val="20"/>
                <w:b w:val="1"/>
                <w:bCs w:val="1"/>
                <w:color w:val="auto"/>
                <w:w w:val="98"/>
              </w:rPr>
              <w:t>Remaining</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Issued Upon</w:t>
            </w:r>
          </w:p>
        </w:tc>
        <w:tc>
          <w:tcPr>
            <w:tcW w:w="12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Exercise Price of</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Available</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Exercise of</w:t>
            </w:r>
          </w:p>
        </w:tc>
        <w:tc>
          <w:tcPr>
            <w:tcW w:w="120" w:type="dxa"/>
            <w:vAlign w:val="bottom"/>
          </w:tcPr>
          <w:p>
            <w:pPr>
              <w:spacing w:after="0"/>
              <w:rPr>
                <w:sz w:val="20"/>
                <w:szCs w:val="20"/>
                <w:color w:val="auto"/>
              </w:rPr>
            </w:pPr>
          </w:p>
        </w:tc>
        <w:tc>
          <w:tcPr>
            <w:tcW w:w="202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60" w:type="dxa"/>
            <w:vAlign w:val="bottom"/>
          </w:tcPr>
          <w:p>
            <w:pPr>
              <w:spacing w:after="0"/>
              <w:rPr>
                <w:sz w:val="20"/>
                <w:szCs w:val="20"/>
                <w:color w:val="auto"/>
              </w:rPr>
            </w:pPr>
          </w:p>
        </w:tc>
        <w:tc>
          <w:tcPr>
            <w:tcW w:w="2080" w:type="dxa"/>
            <w:vAlign w:val="bottom"/>
            <w:gridSpan w:val="4"/>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for Future Issuance</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12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8"/>
              </w:rPr>
              <w:t>Options,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8"/>
              </w:rPr>
              <w:t>Under Equity</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rPr>
              <w:t>Options, Warrants</w:t>
            </w:r>
          </w:p>
        </w:tc>
        <w:tc>
          <w:tcPr>
            <w:tcW w:w="12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Warrants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0" w:type="dxa"/>
            <w:vAlign w:val="bottom"/>
          </w:tcPr>
          <w:p>
            <w:pPr>
              <w:spacing w:after="0"/>
              <w:rPr>
                <w:sz w:val="1"/>
                <w:szCs w:val="1"/>
                <w:color w:val="auto"/>
              </w:rPr>
            </w:pPr>
          </w:p>
        </w:tc>
      </w:tr>
      <w:tr>
        <w:trPr>
          <w:trHeight w:val="262"/>
        </w:trPr>
        <w:tc>
          <w:tcPr>
            <w:tcW w:w="4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gridSpan w:val="4"/>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and Rights</w:t>
            </w:r>
          </w:p>
        </w:tc>
        <w:tc>
          <w:tcPr>
            <w:tcW w:w="120" w:type="dxa"/>
            <w:vAlign w:val="bottom"/>
          </w:tcPr>
          <w:p>
            <w:pPr>
              <w:spacing w:after="0"/>
              <w:rPr>
                <w:sz w:val="22"/>
                <w:szCs w:val="22"/>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and Rights</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Plans</w:t>
            </w:r>
          </w:p>
        </w:tc>
        <w:tc>
          <w:tcPr>
            <w:tcW w:w="0" w:type="dxa"/>
            <w:vAlign w:val="bottom"/>
          </w:tcPr>
          <w:p>
            <w:pPr>
              <w:spacing w:after="0"/>
              <w:rPr>
                <w:sz w:val="1"/>
                <w:szCs w:val="1"/>
                <w:color w:val="auto"/>
              </w:rPr>
            </w:pPr>
          </w:p>
        </w:tc>
      </w:tr>
      <w:tr>
        <w:trPr>
          <w:trHeight w:val="230"/>
        </w:trPr>
        <w:tc>
          <w:tcPr>
            <w:tcW w:w="4280" w:type="dxa"/>
            <w:vAlign w:val="bottom"/>
            <w:tcBorders>
              <w:top w:val="single" w:sz="8" w:color="E3E3E3"/>
            </w:tcBorders>
            <w:shd w:val="clear" w:color="auto" w:fill="E3E3E3"/>
          </w:tcPr>
          <w:p>
            <w:pPr>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E3E3E3"/>
              </w:rPr>
              <w:t>Equity compensation plans approved by stockholders</w:t>
            </w:r>
          </w:p>
        </w:tc>
        <w:tc>
          <w:tcPr>
            <w:tcW w:w="20" w:type="dxa"/>
            <w:vAlign w:val="bottom"/>
            <w:tcBorders>
              <w:top w:val="single" w:sz="8" w:color="E3E3E3"/>
            </w:tcBorders>
            <w:shd w:val="clear" w:color="auto" w:fill="E3E3E3"/>
          </w:tcPr>
          <w:p>
            <w:pPr>
              <w:spacing w:after="0"/>
              <w:rPr>
                <w:sz w:val="19"/>
                <w:szCs w:val="19"/>
                <w:color w:val="auto"/>
              </w:rPr>
            </w:pPr>
          </w:p>
        </w:tc>
        <w:tc>
          <w:tcPr>
            <w:tcW w:w="60" w:type="dxa"/>
            <w:vAlign w:val="bottom"/>
            <w:tcBorders>
              <w:top w:val="single" w:sz="8" w:color="E3E3E3"/>
              <w:right w:val="single" w:sz="8" w:color="E3E3E3"/>
            </w:tcBorders>
            <w:shd w:val="clear" w:color="auto" w:fill="E3E3E3"/>
          </w:tcPr>
          <w:p>
            <w:pPr>
              <w:spacing w:after="0"/>
              <w:rPr>
                <w:sz w:val="19"/>
                <w:szCs w:val="19"/>
                <w:color w:val="auto"/>
              </w:rPr>
            </w:pPr>
          </w:p>
        </w:tc>
        <w:tc>
          <w:tcPr>
            <w:tcW w:w="17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4,164,236</w:t>
            </w:r>
          </w:p>
        </w:tc>
        <w:tc>
          <w:tcPr>
            <w:tcW w:w="80" w:type="dxa"/>
            <w:vAlign w:val="bottom"/>
            <w:tcBorders>
              <w:top w:val="single" w:sz="8" w:color="E3E3E3"/>
            </w:tcBorders>
            <w:shd w:val="clear" w:color="auto" w:fill="E3E3E3"/>
          </w:tcPr>
          <w:p>
            <w:pPr>
              <w:spacing w:after="0"/>
              <w:rPr>
                <w:sz w:val="19"/>
                <w:szCs w:val="19"/>
                <w:color w:val="auto"/>
              </w:rPr>
            </w:pPr>
          </w:p>
        </w:tc>
        <w:tc>
          <w:tcPr>
            <w:tcW w:w="230" w:type="dxa"/>
            <w:vAlign w:val="bottom"/>
            <w:tcBorders>
              <w:top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85"/>
                <w:shd w:val="clear" w:color="auto" w:fill="E3E3E3"/>
              </w:rPr>
              <w:t>(1)</w:t>
            </w:r>
          </w:p>
        </w:tc>
        <w:tc>
          <w:tcPr>
            <w:tcW w:w="7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68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14.98</w:t>
            </w:r>
          </w:p>
        </w:tc>
        <w:tc>
          <w:tcPr>
            <w:tcW w:w="80" w:type="dxa"/>
            <w:vAlign w:val="bottom"/>
            <w:tcBorders>
              <w:top w:val="single" w:sz="8" w:color="E3E3E3"/>
            </w:tcBorders>
            <w:shd w:val="clear" w:color="auto" w:fill="E3E3E3"/>
          </w:tcPr>
          <w:p>
            <w:pPr>
              <w:spacing w:after="0"/>
              <w:rPr>
                <w:sz w:val="19"/>
                <w:szCs w:val="19"/>
                <w:color w:val="auto"/>
              </w:rPr>
            </w:pPr>
          </w:p>
        </w:tc>
        <w:tc>
          <w:tcPr>
            <w:tcW w:w="260" w:type="dxa"/>
            <w:vAlign w:val="bottom"/>
            <w:tcBorders>
              <w:top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94"/>
                <w:shd w:val="clear" w:color="auto" w:fill="E3E3E3"/>
              </w:rPr>
              <w:t>(2)</w:t>
            </w:r>
          </w:p>
        </w:tc>
        <w:tc>
          <w:tcPr>
            <w:tcW w:w="60" w:type="dxa"/>
            <w:vAlign w:val="bottom"/>
            <w:tcBorders>
              <w:top w:val="single" w:sz="8" w:color="E3E3E3"/>
              <w:right w:val="single" w:sz="8" w:color="E3E3E3"/>
            </w:tcBorders>
            <w:shd w:val="clear" w:color="auto" w:fill="E3E3E3"/>
          </w:tcPr>
          <w:p>
            <w:pPr>
              <w:spacing w:after="0"/>
              <w:rPr>
                <w:sz w:val="19"/>
                <w:szCs w:val="19"/>
                <w:color w:val="auto"/>
              </w:rPr>
            </w:pPr>
          </w:p>
        </w:tc>
        <w:tc>
          <w:tcPr>
            <w:tcW w:w="80" w:type="dxa"/>
            <w:vAlign w:val="bottom"/>
            <w:tcBorders>
              <w:top w:val="single" w:sz="8" w:color="auto"/>
            </w:tcBorders>
            <w:shd w:val="clear" w:color="auto" w:fill="E3E3E3"/>
          </w:tcPr>
          <w:p>
            <w:pPr>
              <w:spacing w:after="0"/>
              <w:rPr>
                <w:sz w:val="19"/>
                <w:szCs w:val="19"/>
                <w:color w:val="auto"/>
              </w:rPr>
            </w:pPr>
          </w:p>
        </w:tc>
        <w:tc>
          <w:tcPr>
            <w:tcW w:w="1700" w:type="dxa"/>
            <w:vAlign w:val="bottom"/>
            <w:tcBorders>
              <w:top w:val="single" w:sz="8" w:color="auto"/>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auto"/>
              </w:rPr>
              <w:t>580,039</w:t>
            </w:r>
          </w:p>
        </w:tc>
        <w:tc>
          <w:tcPr>
            <w:tcW w:w="60" w:type="dxa"/>
            <w:vAlign w:val="bottom"/>
            <w:tcBorders>
              <w:top w:val="single" w:sz="8" w:color="E3E3E3"/>
            </w:tcBorders>
            <w:shd w:val="clear" w:color="auto" w:fill="E3E3E3"/>
          </w:tcPr>
          <w:p>
            <w:pPr>
              <w:spacing w:after="0"/>
              <w:rPr>
                <w:sz w:val="19"/>
                <w:szCs w:val="19"/>
                <w:color w:val="auto"/>
              </w:rPr>
            </w:pPr>
          </w:p>
        </w:tc>
        <w:tc>
          <w:tcPr>
            <w:tcW w:w="240" w:type="dxa"/>
            <w:vAlign w:val="bottom"/>
            <w:tcBorders>
              <w:top w:val="single" w:sz="8" w:color="E3E3E3"/>
            </w:tcBorders>
            <w:shd w:val="clear" w:color="auto" w:fill="E3E3E3"/>
          </w:tcPr>
          <w:p>
            <w:pPr>
              <w:jc w:val="right"/>
              <w:spacing w:after="0" w:line="225" w:lineRule="exact"/>
              <w:rPr>
                <w:sz w:val="20"/>
                <w:szCs w:val="20"/>
                <w:color w:val="auto"/>
              </w:rPr>
            </w:pPr>
            <w:r>
              <w:rPr>
                <w:rFonts w:ascii="Times New Roman" w:cs="Times New Roman" w:eastAsia="Times New Roman" w:hAnsi="Times New Roman"/>
                <w:sz w:val="20"/>
                <w:szCs w:val="20"/>
                <w:color w:val="auto"/>
                <w:w w:val="94"/>
                <w:shd w:val="clear" w:color="auto" w:fill="E3E3E3"/>
              </w:rPr>
              <w:t>(3)</w:t>
            </w:r>
          </w:p>
        </w:tc>
        <w:tc>
          <w:tcPr>
            <w:tcW w:w="0" w:type="dxa"/>
            <w:vAlign w:val="bottom"/>
          </w:tcPr>
          <w:p>
            <w:pPr>
              <w:spacing w:after="0"/>
              <w:rPr>
                <w:sz w:val="1"/>
                <w:szCs w:val="1"/>
                <w:color w:val="auto"/>
              </w:rPr>
            </w:pPr>
          </w:p>
        </w:tc>
      </w:tr>
      <w:tr>
        <w:trPr>
          <w:trHeight w:val="217"/>
        </w:trPr>
        <w:tc>
          <w:tcPr>
            <w:tcW w:w="428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Equity compensation plans not approved by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160" w:type="dxa"/>
            <w:vAlign w:val="bottom"/>
            <w:gridSpan w:val="4"/>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20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4280" w:type="dxa"/>
            <w:vAlign w:val="bottom"/>
            <w:tcBorders>
              <w:top w:val="single" w:sz="8" w:color="E3E3E3"/>
              <w:bottom w:val="single" w:sz="8" w:color="E3E3E3"/>
            </w:tcBorders>
            <w:shd w:val="clear" w:color="auto" w:fill="E3E3E3"/>
          </w:tcPr>
          <w:p>
            <w:pPr>
              <w:spacing w:after="0"/>
              <w:rPr>
                <w:sz w:val="23"/>
                <w:szCs w:val="23"/>
                <w:color w:val="auto"/>
              </w:rPr>
            </w:pPr>
          </w:p>
        </w:tc>
        <w:tc>
          <w:tcPr>
            <w:tcW w:w="20" w:type="dxa"/>
            <w:vAlign w:val="bottom"/>
            <w:tcBorders>
              <w:top w:val="single" w:sz="8" w:color="E3E3E3"/>
            </w:tcBorders>
            <w:shd w:val="clear" w:color="auto" w:fill="E3E3E3"/>
          </w:tcPr>
          <w:p>
            <w:pPr>
              <w:spacing w:after="0"/>
              <w:rPr>
                <w:sz w:val="23"/>
                <w:szCs w:val="23"/>
                <w:color w:val="auto"/>
              </w:rPr>
            </w:pPr>
          </w:p>
        </w:tc>
        <w:tc>
          <w:tcPr>
            <w:tcW w:w="6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1780" w:type="dxa"/>
            <w:vAlign w:val="bottom"/>
            <w:tcBorders>
              <w:top w:val="single" w:sz="8" w:color="auto"/>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rPr>
              <w:t>4,164,236</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230" w:type="dxa"/>
            <w:vAlign w:val="bottom"/>
            <w:tcBorders>
              <w:top w:val="single" w:sz="8" w:color="E3E3E3"/>
              <w:bottom w:val="single" w:sz="8" w:color="E3E3E3"/>
            </w:tcBorders>
            <w:shd w:val="clear" w:color="auto" w:fill="E3E3E3"/>
          </w:tcPr>
          <w:p>
            <w:pPr>
              <w:spacing w:after="0"/>
              <w:rPr>
                <w:sz w:val="23"/>
                <w:szCs w:val="23"/>
                <w:color w:val="auto"/>
              </w:rPr>
            </w:pPr>
          </w:p>
        </w:tc>
        <w:tc>
          <w:tcPr>
            <w:tcW w:w="70" w:type="dxa"/>
            <w:vAlign w:val="bottom"/>
            <w:tcBorders>
              <w:top w:val="single" w:sz="8" w:color="E3E3E3"/>
              <w:bottom w:val="single" w:sz="8" w:color="E3E3E3"/>
            </w:tcBorders>
            <w:shd w:val="clear" w:color="auto" w:fill="E3E3E3"/>
          </w:tcPr>
          <w:p>
            <w:pPr>
              <w:spacing w:after="0"/>
              <w:rPr>
                <w:sz w:val="23"/>
                <w:szCs w:val="23"/>
                <w:color w:val="auto"/>
              </w:rPr>
            </w:pPr>
          </w:p>
        </w:tc>
        <w:tc>
          <w:tcPr>
            <w:tcW w:w="120" w:type="dxa"/>
            <w:vAlign w:val="bottom"/>
            <w:tcBorders>
              <w:top w:val="single" w:sz="8" w:color="auto"/>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shd w:val="clear" w:color="auto" w:fill="E3E3E3"/>
              </w:rPr>
              <w:t>$</w:t>
            </w:r>
          </w:p>
        </w:tc>
        <w:tc>
          <w:tcPr>
            <w:tcW w:w="1680" w:type="dxa"/>
            <w:vAlign w:val="bottom"/>
            <w:tcBorders>
              <w:top w:val="single" w:sz="8" w:color="auto"/>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rPr>
              <w:t>14.98</w:t>
            </w:r>
          </w:p>
        </w:tc>
        <w:tc>
          <w:tcPr>
            <w:tcW w:w="80" w:type="dxa"/>
            <w:vAlign w:val="bottom"/>
            <w:tcBorders>
              <w:top w:val="single" w:sz="8" w:color="E3E3E3"/>
              <w:bottom w:val="single" w:sz="8" w:color="E3E3E3"/>
            </w:tcBorders>
            <w:shd w:val="clear" w:color="auto" w:fill="E3E3E3"/>
          </w:tcPr>
          <w:p>
            <w:pPr>
              <w:spacing w:after="0"/>
              <w:rPr>
                <w:sz w:val="23"/>
                <w:szCs w:val="23"/>
                <w:color w:val="auto"/>
              </w:rPr>
            </w:pPr>
          </w:p>
        </w:tc>
        <w:tc>
          <w:tcPr>
            <w:tcW w:w="260" w:type="dxa"/>
            <w:vAlign w:val="bottom"/>
            <w:tcBorders>
              <w:top w:val="single" w:sz="8" w:color="E3E3E3"/>
              <w:bottom w:val="single" w:sz="8" w:color="E3E3E3"/>
            </w:tcBorders>
            <w:shd w:val="clear" w:color="auto" w:fill="E3E3E3"/>
          </w:tcPr>
          <w:p>
            <w:pPr>
              <w:spacing w:after="0"/>
              <w:rPr>
                <w:sz w:val="23"/>
                <w:szCs w:val="23"/>
                <w:color w:val="auto"/>
              </w:rPr>
            </w:pPr>
          </w:p>
        </w:tc>
        <w:tc>
          <w:tcPr>
            <w:tcW w:w="60" w:type="dxa"/>
            <w:vAlign w:val="bottom"/>
            <w:tcBorders>
              <w:top w:val="single" w:sz="8" w:color="E3E3E3"/>
              <w:bottom w:val="single" w:sz="8" w:color="E3E3E3"/>
              <w:right w:val="single" w:sz="8" w:color="E3E3E3"/>
            </w:tcBorders>
            <w:shd w:val="clear" w:color="auto" w:fill="E3E3E3"/>
          </w:tcPr>
          <w:p>
            <w:pPr>
              <w:spacing w:after="0"/>
              <w:rPr>
                <w:sz w:val="23"/>
                <w:szCs w:val="23"/>
                <w:color w:val="auto"/>
              </w:rPr>
            </w:pPr>
          </w:p>
        </w:tc>
        <w:tc>
          <w:tcPr>
            <w:tcW w:w="80" w:type="dxa"/>
            <w:vAlign w:val="bottom"/>
            <w:tcBorders>
              <w:top w:val="single" w:sz="8" w:color="auto"/>
              <w:bottom w:val="single" w:sz="8" w:color="E3E3E3"/>
            </w:tcBorders>
            <w:shd w:val="clear" w:color="auto" w:fill="E3E3E3"/>
          </w:tcPr>
          <w:p>
            <w:pPr>
              <w:spacing w:after="0"/>
              <w:rPr>
                <w:sz w:val="23"/>
                <w:szCs w:val="23"/>
                <w:color w:val="auto"/>
              </w:rPr>
            </w:pPr>
          </w:p>
        </w:tc>
        <w:tc>
          <w:tcPr>
            <w:tcW w:w="1700" w:type="dxa"/>
            <w:vAlign w:val="bottom"/>
            <w:tcBorders>
              <w:top w:val="single" w:sz="8" w:color="auto"/>
              <w:bottom w:val="single" w:sz="8" w:color="E3E3E3"/>
            </w:tcBorders>
            <w:shd w:val="clear" w:color="auto" w:fill="E3E3E3"/>
          </w:tcPr>
          <w:p>
            <w:pPr>
              <w:jc w:val="right"/>
              <w:spacing w:after="0" w:line="229" w:lineRule="exact"/>
              <w:rPr>
                <w:sz w:val="20"/>
                <w:szCs w:val="20"/>
                <w:color w:val="auto"/>
              </w:rPr>
            </w:pPr>
            <w:r>
              <w:rPr>
                <w:rFonts w:ascii="Times New Roman" w:cs="Times New Roman" w:eastAsia="Times New Roman" w:hAnsi="Times New Roman"/>
                <w:sz w:val="20"/>
                <w:szCs w:val="20"/>
                <w:color w:val="auto"/>
              </w:rPr>
              <w:t>580,039</w:t>
            </w:r>
          </w:p>
        </w:tc>
        <w:tc>
          <w:tcPr>
            <w:tcW w:w="60" w:type="dxa"/>
            <w:vAlign w:val="bottom"/>
            <w:tcBorders>
              <w:top w:val="single" w:sz="8" w:color="E3E3E3"/>
              <w:bottom w:val="single" w:sz="8" w:color="E3E3E3"/>
            </w:tcBorders>
            <w:shd w:val="clear" w:color="auto" w:fill="E3E3E3"/>
          </w:tcPr>
          <w:p>
            <w:pPr>
              <w:spacing w:after="0"/>
              <w:rPr>
                <w:sz w:val="23"/>
                <w:szCs w:val="23"/>
                <w:color w:val="auto"/>
              </w:rPr>
            </w:pPr>
          </w:p>
        </w:tc>
        <w:tc>
          <w:tcPr>
            <w:tcW w:w="240" w:type="dxa"/>
            <w:vAlign w:val="bottom"/>
            <w:tcBorders>
              <w:top w:val="single" w:sz="8" w:color="E3E3E3"/>
              <w:bottom w:val="single" w:sz="8" w:color="E3E3E3"/>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E3E3E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E3E3E3"/>
              <w:right w:val="single" w:sz="8" w:color="auto"/>
            </w:tcBorders>
          </w:tcPr>
          <w:p>
            <w:pPr>
              <w:spacing w:after="0" w:line="20" w:lineRule="exact"/>
              <w:rPr>
                <w:sz w:val="1"/>
                <w:szCs w:val="1"/>
                <w:color w:val="auto"/>
              </w:rPr>
            </w:pPr>
          </w:p>
        </w:tc>
        <w:tc>
          <w:tcPr>
            <w:tcW w:w="1780" w:type="dxa"/>
            <w:vAlign w:val="bottom"/>
            <w:tcBorders>
              <w:top w:val="single" w:sz="8" w:color="E3E3E3"/>
            </w:tcBorders>
            <w:shd w:val="clear" w:color="auto" w:fill="000000"/>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230" w:type="dxa"/>
            <w:vAlign w:val="bottom"/>
            <w:tcBorders>
              <w:top w:val="single" w:sz="8" w:color="E3E3E3"/>
            </w:tcBorders>
          </w:tcPr>
          <w:p>
            <w:pPr>
              <w:spacing w:after="0" w:line="20" w:lineRule="exact"/>
              <w:rPr>
                <w:sz w:val="1"/>
                <w:szCs w:val="1"/>
                <w:color w:val="auto"/>
              </w:rPr>
            </w:pPr>
          </w:p>
        </w:tc>
        <w:tc>
          <w:tcPr>
            <w:tcW w:w="70" w:type="dxa"/>
            <w:vAlign w:val="bottom"/>
            <w:tcBorders>
              <w:top w:val="single" w:sz="8" w:color="E3E3E3"/>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E3E3E3"/>
            </w:tcBorders>
          </w:tcPr>
          <w:p>
            <w:pPr>
              <w:spacing w:after="0" w:line="20" w:lineRule="exact"/>
              <w:rPr>
                <w:sz w:val="1"/>
                <w:szCs w:val="1"/>
                <w:color w:val="auto"/>
              </w:rPr>
            </w:pPr>
          </w:p>
        </w:tc>
        <w:tc>
          <w:tcPr>
            <w:tcW w:w="260" w:type="dxa"/>
            <w:vAlign w:val="bottom"/>
            <w:tcBorders>
              <w:top w:val="single" w:sz="8" w:color="E3E3E3"/>
            </w:tcBorders>
          </w:tcPr>
          <w:p>
            <w:pPr>
              <w:spacing w:after="0" w:line="20" w:lineRule="exact"/>
              <w:rPr>
                <w:sz w:val="1"/>
                <w:szCs w:val="1"/>
                <w:color w:val="auto"/>
              </w:rPr>
            </w:pPr>
          </w:p>
        </w:tc>
        <w:tc>
          <w:tcPr>
            <w:tcW w:w="60" w:type="dxa"/>
            <w:vAlign w:val="bottom"/>
            <w:tcBorders>
              <w:top w:val="single" w:sz="8" w:color="E3E3E3"/>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E3E3E3"/>
            </w:tcBorders>
          </w:tcPr>
          <w:p>
            <w:pPr>
              <w:spacing w:after="0" w:line="20" w:lineRule="exact"/>
              <w:rPr>
                <w:sz w:val="1"/>
                <w:szCs w:val="1"/>
                <w:color w:val="auto"/>
              </w:rPr>
            </w:pPr>
          </w:p>
        </w:tc>
        <w:tc>
          <w:tcPr>
            <w:tcW w:w="240" w:type="dxa"/>
            <w:vAlign w:val="bottom"/>
            <w:tcBorders>
              <w:top w:val="single" w:sz="8" w:color="E3E3E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780" w:right="220" w:hanging="410"/>
        <w:spacing w:after="0" w:line="259" w:lineRule="auto"/>
        <w:tabs>
          <w:tab w:leader="none" w:pos="73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outstanding stock options and awards for 229,444 shares of our common stock under the 2008 Plan and 3,934,792 shares of our common stock under the 2018 Plan.</w:t>
      </w:r>
    </w:p>
    <w:p>
      <w:pPr>
        <w:ind w:left="740" w:hanging="370"/>
        <w:spacing w:after="0" w:line="244"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the weighted average stock price for outstanding stock options of $5.60 under the 2008 Plan and $15.54 for the 2018 Plan.</w:t>
      </w:r>
    </w:p>
    <w:p>
      <w:pPr>
        <w:ind w:left="740" w:hanging="370"/>
        <w:spacing w:after="0" w:line="250" w:lineRule="auto"/>
        <w:tabs>
          <w:tab w:leader="none" w:pos="7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522,022 shares of our common stock for the 2018 Plan and 58,017 for the Employee Stock Purchase Plan. No future awards shall occur under the 2008 Plan.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113 / 117</w:t>
      </w:r>
    </w:p>
    <w:p>
      <w:pPr>
        <w:sectPr>
          <w:pgSz w:w="12240" w:h="15840" w:orient="portrait"/>
          <w:cols w:equalWidth="0" w:num="1">
            <w:col w:w="10800"/>
          </w:cols>
          <w:pgMar w:left="720" w:top="784" w:right="720" w:bottom="0" w:gutter="0" w:footer="0" w:header="0"/>
        </w:sectPr>
      </w:pPr>
    </w:p>
    <w:bookmarkStart w:id="113" w:name="page114"/>
    <w:bookmarkEnd w:id="113"/>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232"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referred to in Item 10 above where it appears under the heading “Certain Relationships and Related Transactions.”</w:t>
      </w:r>
    </w:p>
    <w:p>
      <w:pPr>
        <w:spacing w:after="0" w:line="1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Accountant Fees and Services</w:t>
      </w:r>
    </w:p>
    <w:p>
      <w:pPr>
        <w:spacing w:after="0" w:line="232"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our definitive Proxy Statement referred to in Item 10 above where it appears under the heading “Principal Accountant Fees and Services.”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and Financial Statement Schedules</w:t>
      </w:r>
    </w:p>
    <w:p>
      <w:pPr>
        <w:spacing w:after="0" w:line="232" w:lineRule="exact"/>
        <w:rPr>
          <w:sz w:val="20"/>
          <w:szCs w:val="20"/>
          <w:color w:val="auto"/>
        </w:rPr>
      </w:pPr>
    </w:p>
    <w:p>
      <w:pPr>
        <w:ind w:left="280" w:hanging="280"/>
        <w:spacing w:after="0"/>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Form 10-K:</w:t>
      </w:r>
    </w:p>
    <w:p>
      <w:pPr>
        <w:spacing w:after="0" w:line="33" w:lineRule="exact"/>
        <w:rPr>
          <w:rFonts w:ascii="Times New Roman" w:cs="Times New Roman" w:eastAsia="Times New Roman" w:hAnsi="Times New Roman"/>
          <w:sz w:val="20"/>
          <w:szCs w:val="20"/>
          <w:color w:val="auto"/>
        </w:rPr>
      </w:pPr>
    </w:p>
    <w:p>
      <w:pPr>
        <w:ind w:left="740" w:right="4440" w:hanging="370"/>
        <w:spacing w:after="0" w:line="289" w:lineRule="auto"/>
        <w:tabs>
          <w:tab w:leader="none" w:pos="7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Consolidated Financial Statements (included in Part II of this report): </w:t>
      </w:r>
      <w:r>
        <w:rPr>
          <w:rFonts w:ascii="Times New Roman" w:cs="Times New Roman" w:eastAsia="Times New Roman" w:hAnsi="Times New Roman"/>
          <w:sz w:val="20"/>
          <w:szCs w:val="20"/>
          <w:color w:val="auto"/>
        </w:rPr>
        <w:t>Report of Independent Registered Public Accounting Firm Consolidated Balance Sheets</w:t>
      </w:r>
    </w:p>
    <w:p>
      <w:pPr>
        <w:spacing w:after="0" w:line="1" w:lineRule="exact"/>
        <w:rPr>
          <w:rFonts w:ascii="Times New Roman" w:cs="Times New Roman" w:eastAsia="Times New Roman" w:hAnsi="Times New Roman"/>
          <w:sz w:val="20"/>
          <w:szCs w:val="20"/>
          <w:color w:val="auto"/>
        </w:rPr>
      </w:pPr>
    </w:p>
    <w:p>
      <w:pPr>
        <w:ind w:left="740" w:right="6160"/>
        <w:spacing w:after="0" w:line="29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Statements of Operations Consolidated Statements of Stockholders' Equity Consolidated Statements of Cash Flows</w:t>
      </w: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57" w:lineRule="exact"/>
        <w:rPr>
          <w:rFonts w:ascii="Times New Roman" w:cs="Times New Roman" w:eastAsia="Times New Roman" w:hAnsi="Times New Roman"/>
          <w:sz w:val="20"/>
          <w:szCs w:val="20"/>
          <w:color w:val="auto"/>
        </w:rPr>
      </w:pPr>
    </w:p>
    <w:p>
      <w:pPr>
        <w:ind w:left="740" w:hanging="370"/>
        <w:spacing w:after="0"/>
        <w:tabs>
          <w:tab w:leader="none" w:pos="7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Consolidated Financial Statement Schedules:</w:t>
      </w:r>
    </w:p>
    <w:p>
      <w:pPr>
        <w:spacing w:after="0" w:line="56" w:lineRule="exact"/>
        <w:rPr>
          <w:rFonts w:ascii="Times New Roman" w:cs="Times New Roman" w:eastAsia="Times New Roman" w:hAnsi="Times New Roman"/>
          <w:sz w:val="20"/>
          <w:szCs w:val="20"/>
          <w:color w:val="auto"/>
        </w:rPr>
      </w:pPr>
    </w:p>
    <w:p>
      <w:pPr>
        <w:ind w:left="740"/>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consolidated financial statement schedules are omitted because the information is inapplicable or presented in the notes to the consolidated financial statements.</w:t>
      </w:r>
    </w:p>
    <w:p>
      <w:pPr>
        <w:ind w:left="740" w:hanging="370"/>
        <w:spacing w:after="0"/>
        <w:tabs>
          <w:tab w:leader="none" w:pos="7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Management Contracts, Compensatory Plans and Arrangements</w:t>
      </w:r>
      <w:r>
        <w:rPr>
          <w:rFonts w:ascii="Times New Roman" w:cs="Times New Roman" w:eastAsia="Times New Roman" w:hAnsi="Times New Roman"/>
          <w:sz w:val="20"/>
          <w:szCs w:val="20"/>
          <w:color w:val="auto"/>
        </w:rPr>
        <w:t>.</w:t>
      </w:r>
    </w:p>
    <w:p>
      <w:pPr>
        <w:spacing w:after="0" w:line="32" w:lineRule="exact"/>
        <w:rPr>
          <w:rFonts w:ascii="Times New Roman" w:cs="Times New Roman" w:eastAsia="Times New Roman" w:hAnsi="Times New Roman"/>
          <w:sz w:val="20"/>
          <w:szCs w:val="20"/>
          <w:color w:val="auto"/>
        </w:rPr>
      </w:pPr>
    </w:p>
    <w:p>
      <w:pPr>
        <w:ind w:left="740"/>
        <w:spacing w:after="0" w:line="27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contracts, compensatory plans and arrangements are indicated by the symbol “*” in the applicable exhibits listed in Item 15(b), below.</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114 / 117</w:t>
      </w:r>
    </w:p>
    <w:p>
      <w:pPr>
        <w:sectPr>
          <w:pgSz w:w="12240" w:h="15840" w:orient="portrait"/>
          <w:cols w:equalWidth="0" w:num="1">
            <w:col w:w="10800"/>
          </w:cols>
          <w:pgMar w:left="720" w:top="784" w:right="720" w:bottom="0" w:gutter="0" w:footer="0" w:header="0"/>
        </w:sectPr>
      </w:pPr>
    </w:p>
    <w:bookmarkStart w:id="114" w:name="page115"/>
    <w:bookmarkEnd w:id="114"/>
    <w:p>
      <w:pPr>
        <w:ind w:left="280" w:hanging="280"/>
        <w:spacing w:after="0"/>
        <w:tabs>
          <w:tab w:leader="none" w:pos="2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exhibits listed below are filed as part of this Form 10-K other than Exhibit 32.1, which shall be deemed furnished.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Incorporated by Reference</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Filed</w:t>
            </w:r>
          </w:p>
        </w:tc>
        <w:tc>
          <w:tcPr>
            <w:tcW w:w="0" w:type="dxa"/>
            <w:vAlign w:val="bottom"/>
          </w:tcPr>
          <w:p>
            <w:pPr>
              <w:spacing w:after="0"/>
              <w:rPr>
                <w:sz w:val="1"/>
                <w:szCs w:val="1"/>
                <w:color w:val="auto"/>
              </w:rPr>
            </w:pPr>
          </w:p>
        </w:tc>
      </w:tr>
      <w:tr>
        <w:trPr>
          <w:trHeight w:val="203"/>
        </w:trPr>
        <w:tc>
          <w:tcPr>
            <w:tcW w:w="8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Filing</w:t>
            </w:r>
          </w:p>
        </w:tc>
        <w:tc>
          <w:tcPr>
            <w:tcW w:w="980" w:type="dxa"/>
            <w:vAlign w:val="bottom"/>
          </w:tcPr>
          <w:p>
            <w:pPr>
              <w:jc w:val="center"/>
              <w:ind w:left="100"/>
              <w:spacing w:after="0" w:line="203" w:lineRule="exact"/>
              <w:rPr>
                <w:sz w:val="20"/>
                <w:szCs w:val="20"/>
                <w:color w:val="auto"/>
              </w:rPr>
            </w:pPr>
            <w:r>
              <w:rPr>
                <w:rFonts w:ascii="Times New Roman" w:cs="Times New Roman" w:eastAsia="Times New Roman" w:hAnsi="Times New Roman"/>
                <w:sz w:val="20"/>
                <w:szCs w:val="20"/>
                <w:b w:val="1"/>
                <w:bCs w:val="1"/>
                <w:color w:val="auto"/>
                <w:w w:val="97"/>
              </w:rPr>
              <w:t>Exhibit</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No.</w:t>
            </w:r>
          </w:p>
        </w:tc>
        <w:tc>
          <w:tcPr>
            <w:tcW w:w="120" w:type="dxa"/>
            <w:vAlign w:val="bottom"/>
          </w:tcPr>
          <w:p>
            <w:pPr>
              <w:spacing w:after="0"/>
              <w:rPr>
                <w:sz w:val="22"/>
                <w:szCs w:val="22"/>
                <w:color w:val="auto"/>
              </w:rPr>
            </w:pPr>
          </w:p>
        </w:tc>
        <w:tc>
          <w:tcPr>
            <w:tcW w:w="572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7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Form</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98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rPr>
              <w:t>No.</w:t>
            </w:r>
          </w:p>
        </w:tc>
        <w:tc>
          <w:tcPr>
            <w:tcW w:w="96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20"/>
                <w:szCs w:val="20"/>
                <w:b w:val="1"/>
                <w:bCs w:val="1"/>
                <w:color w:val="auto"/>
                <w:w w:val="99"/>
              </w:rPr>
              <w:t>Herewith</w:t>
            </w:r>
          </w:p>
        </w:tc>
        <w:tc>
          <w:tcPr>
            <w:tcW w:w="0" w:type="dxa"/>
            <w:vAlign w:val="bottom"/>
          </w:tcPr>
          <w:p>
            <w:pPr>
              <w:spacing w:after="0"/>
              <w:rPr>
                <w:sz w:val="1"/>
                <w:szCs w:val="1"/>
                <w:color w:val="auto"/>
              </w:rPr>
            </w:pPr>
          </w:p>
        </w:tc>
      </w:tr>
      <w:tr>
        <w:trPr>
          <w:trHeight w:val="203"/>
        </w:trPr>
        <w:tc>
          <w:tcPr>
            <w:tcW w:w="560" w:type="dxa"/>
            <w:vAlign w:val="bottom"/>
            <w:gridSpan w:val="3"/>
          </w:tcPr>
          <w:p>
            <w:pPr>
              <w:jc w:val="center"/>
              <w:ind w:left="220"/>
              <w:spacing w:after="0" w:line="204" w:lineRule="exact"/>
              <w:rPr>
                <w:sz w:val="20"/>
                <w:szCs w:val="20"/>
                <w:color w:val="auto"/>
              </w:rPr>
            </w:pPr>
            <w:r>
              <w:rPr>
                <w:rFonts w:ascii="Times New Roman" w:cs="Times New Roman" w:eastAsia="Times New Roman" w:hAnsi="Times New Roman"/>
                <w:sz w:val="20"/>
                <w:szCs w:val="20"/>
                <w:color w:val="313131"/>
                <w:w w:val="95"/>
              </w:rPr>
              <w:t>3.</w:t>
            </w:r>
            <w:r>
              <w:rPr>
                <w:rFonts w:ascii="Times New Roman" w:cs="Times New Roman" w:eastAsia="Times New Roman" w:hAnsi="Times New Roman"/>
                <w:sz w:val="20"/>
                <w:szCs w:val="20"/>
                <w:u w:val="single" w:color="auto"/>
                <w:color w:val="313131"/>
                <w:w w:val="95"/>
              </w:rPr>
              <w:t>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20" w:type="dxa"/>
            <w:vAlign w:val="bottom"/>
            <w:gridSpan w:val="20"/>
          </w:tcPr>
          <w:p>
            <w:pPr>
              <w:spacing w:after="0" w:line="204" w:lineRule="exact"/>
              <w:rPr>
                <w:sz w:val="20"/>
                <w:szCs w:val="20"/>
                <w:color w:val="auto"/>
              </w:rPr>
            </w:pPr>
            <w:r>
              <w:rPr>
                <w:rFonts w:ascii="Times New Roman" w:cs="Times New Roman" w:eastAsia="Times New Roman" w:hAnsi="Times New Roman"/>
                <w:sz w:val="20"/>
                <w:szCs w:val="20"/>
                <w:color w:val="313131"/>
              </w:rPr>
              <w:t>Amended and Restated Certificate of Incorporation.</w:t>
            </w:r>
          </w:p>
        </w:tc>
        <w:tc>
          <w:tcPr>
            <w:tcW w:w="780" w:type="dxa"/>
            <w:vAlign w:val="bottom"/>
          </w:tcPr>
          <w:p>
            <w:pPr>
              <w:jc w:val="center"/>
              <w:ind w:right="140"/>
              <w:spacing w:after="0" w:line="204" w:lineRule="exact"/>
              <w:rPr>
                <w:sz w:val="20"/>
                <w:szCs w:val="20"/>
                <w:color w:val="auto"/>
              </w:rPr>
            </w:pPr>
            <w:r>
              <w:rPr>
                <w:rFonts w:ascii="Times New Roman" w:cs="Times New Roman" w:eastAsia="Times New Roman" w:hAnsi="Times New Roman"/>
                <w:sz w:val="20"/>
                <w:szCs w:val="20"/>
                <w:color w:val="auto"/>
              </w:rPr>
              <w:t>10-Q</w:t>
            </w:r>
          </w:p>
        </w:tc>
        <w:tc>
          <w:tcPr>
            <w:tcW w:w="1380" w:type="dxa"/>
            <w:vAlign w:val="bottom"/>
          </w:tcPr>
          <w:p>
            <w:pPr>
              <w:jc w:val="center"/>
              <w:spacing w:after="0" w:line="204" w:lineRule="exact"/>
              <w:rPr>
                <w:sz w:val="20"/>
                <w:szCs w:val="20"/>
                <w:color w:val="auto"/>
              </w:rPr>
            </w:pPr>
            <w:r>
              <w:rPr>
                <w:rFonts w:ascii="Times New Roman" w:cs="Times New Roman" w:eastAsia="Times New Roman" w:hAnsi="Times New Roman"/>
                <w:sz w:val="20"/>
                <w:szCs w:val="20"/>
                <w:color w:val="auto"/>
                <w:w w:val="98"/>
              </w:rPr>
              <w:t>7/29/2005</w:t>
            </w:r>
          </w:p>
        </w:tc>
        <w:tc>
          <w:tcPr>
            <w:tcW w:w="980" w:type="dxa"/>
            <w:vAlign w:val="bottom"/>
          </w:tcPr>
          <w:p>
            <w:pPr>
              <w:jc w:val="center"/>
              <w:ind w:left="120"/>
              <w:spacing w:after="0" w:line="204" w:lineRule="exact"/>
              <w:rPr>
                <w:sz w:val="20"/>
                <w:szCs w:val="20"/>
                <w:color w:val="auto"/>
              </w:rPr>
            </w:pPr>
            <w:r>
              <w:rPr>
                <w:rFonts w:ascii="Times New Roman" w:cs="Times New Roman" w:eastAsia="Times New Roman" w:hAnsi="Times New Roman"/>
                <w:sz w:val="20"/>
                <w:szCs w:val="20"/>
                <w:color w:val="auto"/>
                <w:w w:val="95"/>
              </w:rPr>
              <w:t>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5/8/2017</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w w:val="95"/>
              </w:rPr>
              <w:t>3.1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0" w:type="dxa"/>
            <w:vAlign w:val="bottom"/>
            <w:gridSpan w:val="3"/>
          </w:tcPr>
          <w:p>
            <w:pPr>
              <w:jc w:val="center"/>
              <w:ind w:left="220"/>
              <w:spacing w:after="0" w:line="220" w:lineRule="exact"/>
              <w:rPr>
                <w:sz w:val="20"/>
                <w:szCs w:val="20"/>
                <w:color w:val="auto"/>
              </w:rPr>
            </w:pPr>
            <w:r>
              <w:rPr>
                <w:rFonts w:ascii="Times New Roman" w:cs="Times New Roman" w:eastAsia="Times New Roman" w:hAnsi="Times New Roman"/>
                <w:sz w:val="20"/>
                <w:szCs w:val="20"/>
                <w:color w:val="313131"/>
                <w:w w:val="95"/>
              </w:rPr>
              <w:t>3.</w:t>
            </w:r>
            <w:r>
              <w:rPr>
                <w:rFonts w:ascii="Times New Roman" w:cs="Times New Roman" w:eastAsia="Times New Roman" w:hAnsi="Times New Roman"/>
                <w:sz w:val="20"/>
                <w:szCs w:val="20"/>
                <w:u w:val="single" w:color="auto"/>
                <w:color w:val="313131"/>
                <w:w w:val="95"/>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Certificate of Amendment of Restated Certificate of Incorporation.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20" w:type="dxa"/>
            <w:vAlign w:val="bottom"/>
            <w:shd w:val="clear" w:color="auto" w:fill="313131"/>
          </w:tcPr>
          <w:p>
            <w:pPr>
              <w:spacing w:after="0" w:line="20" w:lineRule="exact"/>
              <w:rPr>
                <w:sz w:val="1"/>
                <w:szCs w:val="1"/>
                <w:color w:val="auto"/>
              </w:rPr>
            </w:pPr>
          </w:p>
        </w:tc>
        <w:tc>
          <w:tcPr>
            <w:tcW w:w="260" w:type="dxa"/>
            <w:vAlign w:val="bottom"/>
            <w:shd w:val="clear" w:color="auto" w:fill="313131"/>
          </w:tcPr>
          <w:p>
            <w:pPr>
              <w:spacing w:after="0" w:line="20" w:lineRule="exact"/>
              <w:rPr>
                <w:sz w:val="1"/>
                <w:szCs w:val="1"/>
                <w:color w:val="auto"/>
              </w:rPr>
            </w:pPr>
          </w:p>
        </w:tc>
        <w:tc>
          <w:tcPr>
            <w:tcW w:w="300" w:type="dxa"/>
            <w:vAlign w:val="bottom"/>
            <w:tcBorders>
              <w:left w:val="single" w:sz="8" w:color="31313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3/29/2019</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w w:val="95"/>
              </w:rPr>
              <w:t>3.3</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0" w:type="dxa"/>
            <w:vAlign w:val="bottom"/>
            <w:gridSpan w:val="3"/>
          </w:tcPr>
          <w:p>
            <w:pPr>
              <w:jc w:val="center"/>
              <w:ind w:left="220"/>
              <w:spacing w:after="0" w:line="220" w:lineRule="exact"/>
              <w:rPr>
                <w:sz w:val="20"/>
                <w:szCs w:val="20"/>
                <w:color w:val="auto"/>
              </w:rPr>
            </w:pPr>
            <w:r>
              <w:rPr>
                <w:rFonts w:ascii="Times New Roman" w:cs="Times New Roman" w:eastAsia="Times New Roman" w:hAnsi="Times New Roman"/>
                <w:sz w:val="20"/>
                <w:szCs w:val="20"/>
                <w:color w:val="313131"/>
                <w:w w:val="95"/>
              </w:rPr>
              <w:t>3.</w:t>
            </w:r>
            <w:r>
              <w:rPr>
                <w:rFonts w:ascii="Times New Roman" w:cs="Times New Roman" w:eastAsia="Times New Roman" w:hAnsi="Times New Roman"/>
                <w:sz w:val="20"/>
                <w:szCs w:val="20"/>
                <w:u w:val="single" w:color="auto"/>
                <w:color w:val="313131"/>
                <w:w w:val="95"/>
              </w:rPr>
              <w:t>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Certificate of Amendment of Restated Certificate of Incorporation.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20" w:type="dxa"/>
            <w:vAlign w:val="bottom"/>
            <w:shd w:val="clear" w:color="auto" w:fill="313131"/>
          </w:tcPr>
          <w:p>
            <w:pPr>
              <w:spacing w:after="0" w:line="20" w:lineRule="exact"/>
              <w:rPr>
                <w:sz w:val="1"/>
                <w:szCs w:val="1"/>
                <w:color w:val="auto"/>
              </w:rPr>
            </w:pPr>
          </w:p>
        </w:tc>
        <w:tc>
          <w:tcPr>
            <w:tcW w:w="260" w:type="dxa"/>
            <w:vAlign w:val="bottom"/>
            <w:shd w:val="clear" w:color="auto" w:fill="313131"/>
          </w:tcPr>
          <w:p>
            <w:pPr>
              <w:spacing w:after="0" w:line="20" w:lineRule="exact"/>
              <w:rPr>
                <w:sz w:val="1"/>
                <w:szCs w:val="1"/>
                <w:color w:val="auto"/>
              </w:rPr>
            </w:pPr>
          </w:p>
        </w:tc>
        <w:tc>
          <w:tcPr>
            <w:tcW w:w="300" w:type="dxa"/>
            <w:vAlign w:val="bottom"/>
            <w:tcBorders>
              <w:left w:val="single" w:sz="8" w:color="31313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3/10/2026</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w w:val="95"/>
              </w:rPr>
              <w:t>3.3</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0" w:type="dxa"/>
            <w:vAlign w:val="bottom"/>
            <w:gridSpan w:val="3"/>
          </w:tcPr>
          <w:p>
            <w:pPr>
              <w:jc w:val="center"/>
              <w:ind w:left="220"/>
              <w:spacing w:after="0" w:line="220" w:lineRule="exact"/>
              <w:rPr>
                <w:sz w:val="20"/>
                <w:szCs w:val="20"/>
                <w:color w:val="auto"/>
              </w:rPr>
            </w:pPr>
            <w:r>
              <w:rPr>
                <w:rFonts w:ascii="Times New Roman" w:cs="Times New Roman" w:eastAsia="Times New Roman" w:hAnsi="Times New Roman"/>
                <w:sz w:val="20"/>
                <w:szCs w:val="20"/>
                <w:color w:val="313131"/>
                <w:w w:val="95"/>
              </w:rPr>
              <w:t>3.</w:t>
            </w:r>
            <w:r>
              <w:rPr>
                <w:rFonts w:ascii="Times New Roman" w:cs="Times New Roman" w:eastAsia="Times New Roman" w:hAnsi="Times New Roman"/>
                <w:sz w:val="20"/>
                <w:szCs w:val="20"/>
                <w:u w:val="single" w:color="auto"/>
                <w:color w:val="313131"/>
                <w:w w:val="95"/>
              </w:rPr>
              <w:t>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Certificate of Amendment of Restated Certificate of Incorporation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40" w:type="dxa"/>
            <w:vAlign w:val="bottom"/>
            <w:shd w:val="clear" w:color="auto" w:fill="313131"/>
          </w:tcPr>
          <w:p>
            <w:pPr>
              <w:spacing w:after="0" w:line="20" w:lineRule="exact"/>
              <w:rPr>
                <w:sz w:val="1"/>
                <w:szCs w:val="1"/>
                <w:color w:val="auto"/>
              </w:rPr>
            </w:pPr>
          </w:p>
        </w:tc>
        <w:tc>
          <w:tcPr>
            <w:tcW w:w="4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20" w:type="dxa"/>
            <w:vAlign w:val="bottom"/>
            <w:shd w:val="clear" w:color="auto" w:fill="313131"/>
          </w:tcPr>
          <w:p>
            <w:pPr>
              <w:spacing w:after="0" w:line="20" w:lineRule="exact"/>
              <w:rPr>
                <w:sz w:val="1"/>
                <w:szCs w:val="1"/>
                <w:color w:val="auto"/>
              </w:rPr>
            </w:pPr>
          </w:p>
        </w:tc>
        <w:tc>
          <w:tcPr>
            <w:tcW w:w="260" w:type="dxa"/>
            <w:vAlign w:val="bottom"/>
            <w:shd w:val="clear" w:color="auto" w:fill="31313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3/10/2026</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w w:val="95"/>
              </w:rPr>
              <w:t>3.4</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0" w:type="dxa"/>
            <w:vAlign w:val="bottom"/>
            <w:gridSpan w:val="3"/>
          </w:tcPr>
          <w:p>
            <w:pPr>
              <w:jc w:val="center"/>
              <w:ind w:left="220"/>
              <w:spacing w:after="0" w:line="220" w:lineRule="exact"/>
              <w:rPr>
                <w:sz w:val="20"/>
                <w:szCs w:val="20"/>
                <w:color w:val="auto"/>
              </w:rPr>
            </w:pPr>
            <w:r>
              <w:rPr>
                <w:rFonts w:ascii="Times New Roman" w:cs="Times New Roman" w:eastAsia="Times New Roman" w:hAnsi="Times New Roman"/>
                <w:sz w:val="20"/>
                <w:szCs w:val="20"/>
                <w:color w:val="313131"/>
                <w:w w:val="95"/>
              </w:rPr>
              <w:t>3.</w:t>
            </w:r>
            <w:r>
              <w:rPr>
                <w:rFonts w:ascii="Times New Roman" w:cs="Times New Roman" w:eastAsia="Times New Roman" w:hAnsi="Times New Roman"/>
                <w:sz w:val="20"/>
                <w:szCs w:val="20"/>
                <w:u w:val="single" w:color="auto"/>
                <w:color w:val="313131"/>
                <w:w w:val="95"/>
              </w:rPr>
              <w:t>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Amended and Restated Bylaws of Filana Therapeutics, Inc.</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40" w:type="dxa"/>
            <w:vAlign w:val="bottom"/>
            <w:shd w:val="clear" w:color="auto" w:fill="31313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8/12/2019</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w w:val="95"/>
              </w:rPr>
              <w:t>4.1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0" w:type="dxa"/>
            <w:vAlign w:val="bottom"/>
            <w:gridSpan w:val="3"/>
          </w:tcPr>
          <w:p>
            <w:pPr>
              <w:jc w:val="center"/>
              <w:ind w:left="220"/>
              <w:spacing w:after="0" w:line="220" w:lineRule="exact"/>
              <w:rPr>
                <w:sz w:val="20"/>
                <w:szCs w:val="20"/>
                <w:color w:val="auto"/>
              </w:rPr>
            </w:pPr>
            <w:r>
              <w:rPr>
                <w:rFonts w:ascii="Times New Roman" w:cs="Times New Roman" w:eastAsia="Times New Roman" w:hAnsi="Times New Roman"/>
                <w:sz w:val="20"/>
                <w:szCs w:val="20"/>
                <w:color w:val="313131"/>
                <w:w w:val="95"/>
              </w:rPr>
              <w:t>4.</w:t>
            </w:r>
            <w:r>
              <w:rPr>
                <w:rFonts w:ascii="Times New Roman" w:cs="Times New Roman" w:eastAsia="Times New Roman" w:hAnsi="Times New Roman"/>
                <w:sz w:val="20"/>
                <w:szCs w:val="20"/>
                <w:u w:val="single" w:color="auto"/>
                <w:color w:val="313131"/>
                <w:w w:val="95"/>
              </w:rPr>
              <w:t>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Specimen Common Stock Certificate.</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20" w:type="dxa"/>
            <w:vAlign w:val="bottom"/>
            <w:shd w:val="clear" w:color="auto" w:fill="3131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0" w:type="dxa"/>
            <w:vAlign w:val="bottom"/>
            <w:gridSpan w:val="3"/>
          </w:tcPr>
          <w:p>
            <w:pPr>
              <w:jc w:val="center"/>
              <w:ind w:left="220"/>
              <w:spacing w:after="0" w:line="220" w:lineRule="exact"/>
              <w:rPr>
                <w:sz w:val="20"/>
                <w:szCs w:val="20"/>
                <w:color w:val="auto"/>
              </w:rPr>
            </w:pPr>
            <w:r>
              <w:rPr>
                <w:rFonts w:ascii="Times New Roman" w:cs="Times New Roman" w:eastAsia="Times New Roman" w:hAnsi="Times New Roman"/>
                <w:sz w:val="20"/>
                <w:szCs w:val="20"/>
                <w:color w:val="313131"/>
                <w:w w:val="95"/>
              </w:rPr>
              <w:t>4.</w:t>
            </w:r>
            <w:r>
              <w:rPr>
                <w:rFonts w:ascii="Times New Roman" w:cs="Times New Roman" w:eastAsia="Times New Roman" w:hAnsi="Times New Roman"/>
                <w:sz w:val="20"/>
                <w:szCs w:val="20"/>
                <w:u w:val="single" w:color="auto"/>
                <w:color w:val="313131"/>
                <w:w w:val="95"/>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Description of Registrant’s Securities.</w:t>
            </w: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10-K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3/1/2022</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40" w:type="dxa"/>
            <w:vAlign w:val="bottom"/>
            <w:gridSpan w:val="2"/>
            <w:shd w:val="clear" w:color="auto" w:fill="3131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gridSpan w:val="5"/>
          </w:tcPr>
          <w:p>
            <w:pPr>
              <w:jc w:val="center"/>
              <w:spacing w:after="0" w:line="220" w:lineRule="exact"/>
              <w:rPr>
                <w:sz w:val="20"/>
                <w:szCs w:val="20"/>
                <w:color w:val="auto"/>
              </w:rPr>
            </w:pPr>
            <w:r>
              <w:rPr>
                <w:rFonts w:ascii="Times New Roman" w:cs="Times New Roman" w:eastAsia="Times New Roman" w:hAnsi="Times New Roman"/>
                <w:sz w:val="20"/>
                <w:szCs w:val="20"/>
                <w:color w:val="313131"/>
                <w:w w:val="97"/>
              </w:rPr>
              <w:t>10.</w:t>
            </w:r>
            <w:r>
              <w:rPr>
                <w:rFonts w:ascii="Times New Roman" w:cs="Times New Roman" w:eastAsia="Times New Roman" w:hAnsi="Times New Roman"/>
                <w:sz w:val="20"/>
                <w:szCs w:val="20"/>
                <w:u w:val="single" w:color="auto"/>
                <w:color w:val="313131"/>
                <w:w w:val="97"/>
              </w:rPr>
              <w:t>1</w:t>
            </w:r>
            <w:r>
              <w:rPr>
                <w:rFonts w:ascii="Times New Roman" w:cs="Times New Roman" w:eastAsia="Times New Roman" w:hAnsi="Times New Roman"/>
                <w:sz w:val="20"/>
                <w:szCs w:val="20"/>
                <w:color w:val="000000"/>
                <w:w w:val="97"/>
              </w:rPr>
              <w:t>*</w:t>
            </w: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Form of Indemnification Agreement between Registrant and each of</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960" w:type="dxa"/>
            <w:vAlign w:val="bottom"/>
            <w:shd w:val="clear" w:color="auto" w:fill="313131"/>
          </w:tcPr>
          <w:p>
            <w:pPr>
              <w:spacing w:after="0" w:line="20" w:lineRule="exact"/>
              <w:rPr>
                <w:sz w:val="1"/>
                <w:szCs w:val="1"/>
                <w:color w:val="auto"/>
              </w:rPr>
            </w:pPr>
          </w:p>
        </w:tc>
        <w:tc>
          <w:tcPr>
            <w:tcW w:w="18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80" w:type="dxa"/>
            <w:vAlign w:val="bottom"/>
            <w:gridSpan w:val="2"/>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20" w:type="dxa"/>
            <w:vAlign w:val="bottom"/>
            <w:shd w:val="clear" w:color="auto" w:fill="313131"/>
          </w:tcPr>
          <w:p>
            <w:pPr>
              <w:spacing w:after="0" w:line="20" w:lineRule="exact"/>
              <w:rPr>
                <w:sz w:val="1"/>
                <w:szCs w:val="1"/>
                <w:color w:val="auto"/>
              </w:rPr>
            </w:pPr>
          </w:p>
        </w:tc>
        <w:tc>
          <w:tcPr>
            <w:tcW w:w="560" w:type="dxa"/>
            <w:vAlign w:val="bottom"/>
            <w:gridSpan w:val="2"/>
            <w:shd w:val="clear" w:color="auto" w:fill="31313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color w:val="313131"/>
                <w:w w:val="97"/>
              </w:rPr>
              <w:t>10.</w:t>
            </w:r>
            <w:r>
              <w:rPr>
                <w:rFonts w:ascii="Times New Roman" w:cs="Times New Roman" w:eastAsia="Times New Roman" w:hAnsi="Times New Roman"/>
                <w:sz w:val="20"/>
                <w:szCs w:val="20"/>
                <w:u w:val="single" w:color="auto"/>
                <w:color w:val="313131"/>
                <w:w w:val="97"/>
              </w:rPr>
              <w:t>6</w:t>
            </w:r>
            <w:r>
              <w:rPr>
                <w:rFonts w:ascii="Times New Roman" w:cs="Times New Roman" w:eastAsia="Times New Roman" w:hAnsi="Times New Roman"/>
                <w:sz w:val="20"/>
                <w:szCs w:val="20"/>
                <w:color w:val="000000"/>
                <w:w w:val="97"/>
              </w:rPr>
              <w:t>*</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gridSpan w:val="18"/>
          </w:tcPr>
          <w:p>
            <w:pPr>
              <w:spacing w:after="0" w:line="208" w:lineRule="exact"/>
              <w:rPr>
                <w:sz w:val="20"/>
                <w:szCs w:val="20"/>
                <w:color w:val="auto"/>
              </w:rPr>
            </w:pPr>
            <w:r>
              <w:rPr>
                <w:rFonts w:ascii="Times New Roman" w:cs="Times New Roman" w:eastAsia="Times New Roman" w:hAnsi="Times New Roman"/>
                <w:sz w:val="20"/>
                <w:szCs w:val="20"/>
                <w:color w:val="313131"/>
              </w:rPr>
              <w:t>its directors and officers.</w:t>
            </w:r>
          </w:p>
        </w:tc>
        <w:tc>
          <w:tcPr>
            <w:tcW w:w="120" w:type="dxa"/>
            <w:vAlign w:val="bottom"/>
            <w:vMerge w:val="continue"/>
          </w:tcPr>
          <w:p>
            <w:pPr>
              <w:spacing w:after="0"/>
              <w:rPr>
                <w:sz w:val="18"/>
                <w:szCs w:val="18"/>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7/29/2010</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gridSpan w:val="2"/>
            <w:shd w:val="clear" w:color="auto" w:fill="31313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2000 Employee Stock Purchase Plan, as amended and restated.</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gridSpan w:val="2"/>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80" w:type="dxa"/>
            <w:vAlign w:val="bottom"/>
            <w:gridSpan w:val="2"/>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220" w:type="dxa"/>
            <w:vAlign w:val="bottom"/>
            <w:shd w:val="clear" w:color="auto" w:fill="313131"/>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5/29/2008</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gridSpan w:val="5"/>
          </w:tcPr>
          <w:p>
            <w:pPr>
              <w:jc w:val="center"/>
              <w:spacing w:after="0" w:line="220" w:lineRule="exact"/>
              <w:rPr>
                <w:sz w:val="20"/>
                <w:szCs w:val="20"/>
                <w:color w:val="auto"/>
              </w:rPr>
            </w:pPr>
            <w:r>
              <w:rPr>
                <w:rFonts w:ascii="Times New Roman" w:cs="Times New Roman" w:eastAsia="Times New Roman" w:hAnsi="Times New Roman"/>
                <w:sz w:val="20"/>
                <w:szCs w:val="20"/>
                <w:color w:val="313131"/>
                <w:w w:val="97"/>
              </w:rPr>
              <w:t>10.</w:t>
            </w:r>
            <w:r>
              <w:rPr>
                <w:rFonts w:ascii="Times New Roman" w:cs="Times New Roman" w:eastAsia="Times New Roman" w:hAnsi="Times New Roman"/>
                <w:sz w:val="20"/>
                <w:szCs w:val="20"/>
                <w:u w:val="single" w:color="auto"/>
                <w:color w:val="313131"/>
                <w:w w:val="97"/>
              </w:rPr>
              <w:t>7</w:t>
            </w:r>
            <w:r>
              <w:rPr>
                <w:rFonts w:ascii="Times New Roman" w:cs="Times New Roman" w:eastAsia="Times New Roman" w:hAnsi="Times New Roman"/>
                <w:sz w:val="20"/>
                <w:szCs w:val="20"/>
                <w:color w:val="000000"/>
                <w:w w:val="97"/>
              </w:rPr>
              <w:t>*</w:t>
            </w: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2008 Equity Incentive Plan.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gridSpan w:val="2"/>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8/1/2013</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 w:type="dxa"/>
            <w:vAlign w:val="bottom"/>
            <w:gridSpan w:val="5"/>
          </w:tcPr>
          <w:p>
            <w:pPr>
              <w:jc w:val="center"/>
              <w:spacing w:after="0" w:line="221" w:lineRule="exact"/>
              <w:rPr>
                <w:sz w:val="20"/>
                <w:szCs w:val="20"/>
                <w:color w:val="auto"/>
              </w:rPr>
            </w:pPr>
            <w:r>
              <w:rPr>
                <w:rFonts w:ascii="Times New Roman" w:cs="Times New Roman" w:eastAsia="Times New Roman" w:hAnsi="Times New Roman"/>
                <w:sz w:val="20"/>
                <w:szCs w:val="20"/>
                <w:color w:val="313131"/>
                <w:w w:val="97"/>
              </w:rPr>
              <w:t>10.</w:t>
            </w:r>
            <w:r>
              <w:rPr>
                <w:rFonts w:ascii="Times New Roman" w:cs="Times New Roman" w:eastAsia="Times New Roman" w:hAnsi="Times New Roman"/>
                <w:sz w:val="20"/>
                <w:szCs w:val="20"/>
                <w:u w:val="single" w:color="auto"/>
                <w:color w:val="313131"/>
                <w:w w:val="97"/>
              </w:rPr>
              <w:t>8</w:t>
            </w:r>
            <w:r>
              <w:rPr>
                <w:rFonts w:ascii="Times New Roman" w:cs="Times New Roman" w:eastAsia="Times New Roman" w:hAnsi="Times New Roman"/>
                <w:sz w:val="20"/>
                <w:szCs w:val="20"/>
                <w:color w:val="000000"/>
                <w:w w:val="97"/>
              </w:rPr>
              <w:t>*</w:t>
            </w:r>
          </w:p>
        </w:tc>
        <w:tc>
          <w:tcPr>
            <w:tcW w:w="120" w:type="dxa"/>
            <w:vAlign w:val="bottom"/>
          </w:tcPr>
          <w:p>
            <w:pPr>
              <w:spacing w:after="0"/>
              <w:rPr>
                <w:sz w:val="19"/>
                <w:szCs w:val="19"/>
                <w:color w:val="auto"/>
              </w:rPr>
            </w:pPr>
          </w:p>
        </w:tc>
        <w:tc>
          <w:tcPr>
            <w:tcW w:w="5720" w:type="dxa"/>
            <w:vAlign w:val="bottom"/>
            <w:gridSpan w:val="20"/>
          </w:tcPr>
          <w:p>
            <w:pPr>
              <w:spacing w:after="0" w:line="221" w:lineRule="exact"/>
              <w:rPr>
                <w:sz w:val="20"/>
                <w:szCs w:val="20"/>
                <w:color w:val="auto"/>
              </w:rPr>
            </w:pPr>
            <w:r>
              <w:rPr>
                <w:rFonts w:ascii="Times New Roman" w:cs="Times New Roman" w:eastAsia="Times New Roman" w:hAnsi="Times New Roman"/>
                <w:sz w:val="20"/>
                <w:szCs w:val="20"/>
                <w:color w:val="313131"/>
              </w:rPr>
              <w:t>Amendment Number 1 to the 2008 Equity Incentive Plan.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 w:type="dxa"/>
            <w:vAlign w:val="bottom"/>
            <w:gridSpan w:val="2"/>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313131"/>
          </w:tcPr>
          <w:p>
            <w:pPr>
              <w:spacing w:after="0" w:line="20" w:lineRule="exact"/>
              <w:rPr>
                <w:sz w:val="1"/>
                <w:szCs w:val="1"/>
                <w:color w:val="auto"/>
              </w:rPr>
            </w:pPr>
          </w:p>
        </w:tc>
        <w:tc>
          <w:tcPr>
            <w:tcW w:w="280" w:type="dxa"/>
            <w:vAlign w:val="bottom"/>
            <w:gridSpan w:val="2"/>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5/11/2018</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640" w:type="dxa"/>
            <w:vAlign w:val="bottom"/>
            <w:gridSpan w:val="4"/>
          </w:tcPr>
          <w:p>
            <w:pPr>
              <w:jc w:val="center"/>
              <w:ind w:right="140"/>
              <w:spacing w:after="0" w:line="220" w:lineRule="exact"/>
              <w:rPr>
                <w:sz w:val="20"/>
                <w:szCs w:val="20"/>
                <w:color w:val="auto"/>
              </w:rPr>
            </w:pPr>
            <w:r>
              <w:rPr>
                <w:rFonts w:ascii="Times New Roman" w:cs="Times New Roman" w:eastAsia="Times New Roman" w:hAnsi="Times New Roman"/>
                <w:sz w:val="20"/>
                <w:szCs w:val="20"/>
                <w:color w:val="313131"/>
                <w:w w:val="90"/>
              </w:rPr>
              <w:t>10.</w:t>
            </w:r>
            <w:r>
              <w:rPr>
                <w:rFonts w:ascii="Times New Roman" w:cs="Times New Roman" w:eastAsia="Times New Roman" w:hAnsi="Times New Roman"/>
                <w:sz w:val="20"/>
                <w:szCs w:val="20"/>
                <w:u w:val="single" w:color="auto"/>
                <w:color w:val="313131"/>
                <w:w w:val="90"/>
              </w:rPr>
              <w:t>10</w:t>
            </w:r>
            <w:r>
              <w:rPr>
                <w:rFonts w:ascii="Times New Roman" w:cs="Times New Roman" w:eastAsia="Times New Roman" w:hAnsi="Times New Roman"/>
                <w:sz w:val="20"/>
                <w:szCs w:val="20"/>
                <w:color w:val="000000"/>
                <w:w w:val="90"/>
              </w:rPr>
              <w:t>*</w:t>
            </w: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2018 Omnibus Incentive Plan.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0"/>
        </w:trPr>
        <w:tc>
          <w:tcPr>
            <w:tcW w:w="220" w:type="dxa"/>
            <w:vAlign w:val="bottom"/>
            <w:tcBorders>
              <w:right w:val="single" w:sz="8" w:color="313131"/>
            </w:tcBorders>
          </w:tcPr>
          <w:p>
            <w:pPr>
              <w:spacing w:after="0" w:line="20" w:lineRule="exact"/>
              <w:rPr>
                <w:sz w:val="1"/>
                <w:szCs w:val="1"/>
                <w:color w:val="auto"/>
              </w:rPr>
            </w:pPr>
          </w:p>
        </w:tc>
        <w:tc>
          <w:tcPr>
            <w:tcW w:w="400" w:type="dxa"/>
            <w:vAlign w:val="bottom"/>
            <w:tcBorders>
              <w:right w:val="single" w:sz="8" w:color="313131"/>
            </w:tcBorders>
            <w:gridSpan w:val="3"/>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shd w:val="clear" w:color="auto" w:fill="313131"/>
          </w:tcPr>
          <w:p>
            <w:pPr>
              <w:spacing w:after="0" w:line="20" w:lineRule="exact"/>
              <w:rPr>
                <w:sz w:val="1"/>
                <w:szCs w:val="1"/>
                <w:color w:val="auto"/>
              </w:rPr>
            </w:pPr>
          </w:p>
        </w:tc>
        <w:tc>
          <w:tcPr>
            <w:tcW w:w="280" w:type="dxa"/>
            <w:vAlign w:val="bottom"/>
            <w:gridSpan w:val="2"/>
            <w:shd w:val="clear" w:color="auto" w:fill="31313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tcPr>
          <w:p>
            <w:pPr>
              <w:spacing w:after="0"/>
              <w:rPr>
                <w:sz w:val="19"/>
                <w:szCs w:val="19"/>
                <w:color w:val="auto"/>
              </w:rPr>
            </w:pPr>
          </w:p>
        </w:tc>
        <w:tc>
          <w:tcPr>
            <w:tcW w:w="640" w:type="dxa"/>
            <w:vAlign w:val="bottom"/>
            <w:gridSpan w:val="4"/>
          </w:tcPr>
          <w:p>
            <w:pPr>
              <w:jc w:val="center"/>
              <w:ind w:right="200"/>
              <w:spacing w:after="0" w:line="220" w:lineRule="exact"/>
              <w:rPr>
                <w:sz w:val="20"/>
                <w:szCs w:val="20"/>
                <w:color w:val="auto"/>
              </w:rPr>
            </w:pPr>
            <w:r>
              <w:rPr>
                <w:rFonts w:ascii="Times New Roman" w:cs="Times New Roman" w:eastAsia="Times New Roman" w:hAnsi="Times New Roman"/>
                <w:sz w:val="20"/>
                <w:szCs w:val="20"/>
                <w:color w:val="313131"/>
                <w:w w:val="97"/>
              </w:rPr>
              <w:t>10.</w:t>
            </w:r>
            <w:r>
              <w:rPr>
                <w:rFonts w:ascii="Times New Roman" w:cs="Times New Roman" w:eastAsia="Times New Roman" w:hAnsi="Times New Roman"/>
                <w:sz w:val="20"/>
                <w:szCs w:val="20"/>
                <w:u w:val="single" w:color="auto"/>
                <w:color w:val="313131"/>
                <w:w w:val="97"/>
              </w:rPr>
              <w:t>11</w:t>
            </w: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Controlled Equity Offering</w:t>
            </w:r>
            <w:r>
              <w:rPr>
                <w:rFonts w:ascii="Times New Roman" w:cs="Times New Roman" w:eastAsia="Times New Roman" w:hAnsi="Times New Roman"/>
                <w:sz w:val="11"/>
                <w:szCs w:val="11"/>
                <w:color w:val="313131"/>
              </w:rPr>
              <w:t>SM</w:t>
            </w:r>
            <w:r>
              <w:rPr>
                <w:rFonts w:ascii="Times New Roman" w:cs="Times New Roman" w:eastAsia="Times New Roman" w:hAnsi="Times New Roman"/>
                <w:sz w:val="20"/>
                <w:szCs w:val="20"/>
                <w:color w:val="313131"/>
              </w:rPr>
              <w:t xml:space="preserve"> Sales Agreement, dated as of November</w:t>
            </w: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Borders>
              <w:right w:val="single" w:sz="8" w:color="313131"/>
            </w:tcBorders>
            <w:shd w:val="clear" w:color="auto" w:fill="313131"/>
          </w:tcPr>
          <w:p>
            <w:pPr>
              <w:spacing w:after="0" w:line="20" w:lineRule="exact"/>
              <w:rPr>
                <w:sz w:val="1"/>
                <w:szCs w:val="1"/>
                <w:color w:val="auto"/>
              </w:rPr>
            </w:pPr>
          </w:p>
        </w:tc>
        <w:tc>
          <w:tcPr>
            <w:tcW w:w="240" w:type="dxa"/>
            <w:vAlign w:val="bottom"/>
            <w:tcBorders>
              <w:left w:val="single" w:sz="8" w:color="31313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gridSpan w:val="2"/>
            <w:shd w:val="clear" w:color="auto" w:fill="313131"/>
          </w:tcPr>
          <w:p>
            <w:pPr>
              <w:spacing w:after="0" w:line="20" w:lineRule="exact"/>
              <w:rPr>
                <w:sz w:val="1"/>
                <w:szCs w:val="1"/>
                <w:color w:val="auto"/>
              </w:rPr>
            </w:pPr>
          </w:p>
        </w:tc>
        <w:tc>
          <w:tcPr>
            <w:tcW w:w="360" w:type="dxa"/>
            <w:vAlign w:val="bottom"/>
            <w:gridSpan w:val="3"/>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620" w:type="dxa"/>
            <w:vAlign w:val="bottom"/>
            <w:gridSpan w:val="3"/>
            <w:shd w:val="clear" w:color="auto" w:fill="313131"/>
          </w:tcPr>
          <w:p>
            <w:pPr>
              <w:spacing w:after="0" w:line="20" w:lineRule="exact"/>
              <w:rPr>
                <w:sz w:val="1"/>
                <w:szCs w:val="1"/>
                <w:color w:val="auto"/>
              </w:rPr>
            </w:pPr>
          </w:p>
        </w:tc>
        <w:tc>
          <w:tcPr>
            <w:tcW w:w="20" w:type="dxa"/>
            <w:vAlign w:val="bottom"/>
            <w:shd w:val="clear" w:color="auto" w:fill="313131"/>
          </w:tcPr>
          <w:p>
            <w:pPr>
              <w:spacing w:after="0" w:line="20" w:lineRule="exact"/>
              <w:rPr>
                <w:sz w:val="1"/>
                <w:szCs w:val="1"/>
                <w:color w:val="auto"/>
              </w:rPr>
            </w:pPr>
          </w:p>
        </w:tc>
        <w:tc>
          <w:tcPr>
            <w:tcW w:w="780" w:type="dxa"/>
            <w:vAlign w:val="bottom"/>
            <w:gridSpan w:val="3"/>
            <w:shd w:val="clear" w:color="auto" w:fill="31313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vMerge w:val="restart"/>
          </w:tcPr>
          <w:p>
            <w:pPr>
              <w:spacing w:after="0"/>
              <w:rPr>
                <w:sz w:val="18"/>
                <w:szCs w:val="18"/>
                <w:color w:val="auto"/>
              </w:rPr>
            </w:pPr>
          </w:p>
        </w:tc>
        <w:tc>
          <w:tcPr>
            <w:tcW w:w="6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20"/>
                <w:szCs w:val="20"/>
                <w:color w:val="313131"/>
                <w:w w:val="90"/>
              </w:rPr>
              <w:t>10.</w:t>
            </w:r>
            <w:r>
              <w:rPr>
                <w:rFonts w:ascii="Times New Roman" w:cs="Times New Roman" w:eastAsia="Times New Roman" w:hAnsi="Times New Roman"/>
                <w:sz w:val="20"/>
                <w:szCs w:val="20"/>
                <w:u w:val="single" w:color="auto"/>
                <w:color w:val="313131"/>
                <w:w w:val="90"/>
              </w:rPr>
              <w:t>12</w:t>
            </w:r>
            <w:r>
              <w:rPr>
                <w:rFonts w:ascii="Times New Roman" w:cs="Times New Roman" w:eastAsia="Times New Roman" w:hAnsi="Times New Roman"/>
                <w:sz w:val="20"/>
                <w:szCs w:val="20"/>
                <w:color w:val="000000"/>
                <w:w w:val="90"/>
              </w:rPr>
              <w:t>*</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313131"/>
              </w:rPr>
              <w:t>12, 2025, between Registrant and Cantor Fitzgerald and Co.</w:t>
            </w:r>
          </w:p>
        </w:tc>
        <w:tc>
          <w:tcPr>
            <w:tcW w:w="120" w:type="dxa"/>
            <w:vAlign w:val="bottom"/>
            <w:vMerge w:val="continue"/>
          </w:tcPr>
          <w:p>
            <w:pPr>
              <w:spacing w:after="0"/>
              <w:rPr>
                <w:sz w:val="18"/>
                <w:szCs w:val="18"/>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rPr>
              <w:t>10-Q</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8/3/2023</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3"/>
            <w:shd w:val="clear" w:color="auto" w:fill="313131"/>
          </w:tcPr>
          <w:p>
            <w:pPr>
              <w:spacing w:after="0" w:line="20" w:lineRule="exact"/>
              <w:rPr>
                <w:sz w:val="1"/>
                <w:szCs w:val="1"/>
                <w:color w:val="auto"/>
              </w:rPr>
            </w:pPr>
          </w:p>
        </w:tc>
        <w:tc>
          <w:tcPr>
            <w:tcW w:w="360" w:type="dxa"/>
            <w:vAlign w:val="bottom"/>
            <w:gridSpan w:val="3"/>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620" w:type="dxa"/>
            <w:vAlign w:val="bottom"/>
            <w:gridSpan w:val="3"/>
            <w:shd w:val="clear" w:color="auto" w:fill="31313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vMerge w:val="continue"/>
          </w:tcPr>
          <w:p>
            <w:pPr>
              <w:spacing w:after="0"/>
              <w:rPr>
                <w:sz w:val="19"/>
                <w:szCs w:val="19"/>
                <w:color w:val="auto"/>
              </w:rPr>
            </w:pPr>
          </w:p>
        </w:tc>
        <w:tc>
          <w:tcPr>
            <w:tcW w:w="6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Cassava Sciences, Inc. 2020 Cash Incentive Bonus Plan (As</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313131"/>
            </w:tcBorders>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Borders>
              <w:righ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40" w:type="dxa"/>
            <w:vAlign w:val="bottom"/>
            <w:gridSpan w:val="2"/>
            <w:shd w:val="clear" w:color="auto" w:fill="313131"/>
          </w:tcPr>
          <w:p>
            <w:pPr>
              <w:spacing w:after="0" w:line="20" w:lineRule="exact"/>
              <w:rPr>
                <w:sz w:val="1"/>
                <w:szCs w:val="1"/>
                <w:color w:val="auto"/>
              </w:rPr>
            </w:pPr>
          </w:p>
        </w:tc>
        <w:tc>
          <w:tcPr>
            <w:tcW w:w="360" w:type="dxa"/>
            <w:vAlign w:val="bottom"/>
            <w:gridSpan w:val="3"/>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640" w:type="dxa"/>
            <w:vAlign w:val="bottom"/>
            <w:gridSpan w:val="4"/>
            <w:shd w:val="clear" w:color="auto" w:fill="313131"/>
          </w:tcPr>
          <w:p>
            <w:pPr>
              <w:spacing w:after="0" w:line="20" w:lineRule="exact"/>
              <w:rPr>
                <w:sz w:val="1"/>
                <w:szCs w:val="1"/>
                <w:color w:val="auto"/>
              </w:rPr>
            </w:pPr>
          </w:p>
        </w:tc>
        <w:tc>
          <w:tcPr>
            <w:tcW w:w="900" w:type="dxa"/>
            <w:vAlign w:val="bottom"/>
            <w:gridSpan w:val="4"/>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vMerge w:val="restart"/>
          </w:tcPr>
          <w:p>
            <w:pPr>
              <w:spacing w:after="0"/>
              <w:rPr>
                <w:sz w:val="18"/>
                <w:szCs w:val="18"/>
                <w:color w:val="auto"/>
              </w:rPr>
            </w:pPr>
          </w:p>
        </w:tc>
        <w:tc>
          <w:tcPr>
            <w:tcW w:w="6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20"/>
                <w:szCs w:val="20"/>
                <w:color w:val="313131"/>
                <w:w w:val="90"/>
              </w:rPr>
              <w:t>10.</w:t>
            </w:r>
            <w:r>
              <w:rPr>
                <w:rFonts w:ascii="Times New Roman" w:cs="Times New Roman" w:eastAsia="Times New Roman" w:hAnsi="Times New Roman"/>
                <w:sz w:val="20"/>
                <w:szCs w:val="20"/>
                <w:u w:val="single" w:color="auto"/>
                <w:color w:val="313131"/>
                <w:w w:val="90"/>
              </w:rPr>
              <w:t>13</w:t>
            </w:r>
            <w:r>
              <w:rPr>
                <w:rFonts w:ascii="Times New Roman" w:cs="Times New Roman" w:eastAsia="Times New Roman" w:hAnsi="Times New Roman"/>
                <w:sz w:val="20"/>
                <w:szCs w:val="20"/>
                <w:color w:val="000000"/>
                <w:w w:val="90"/>
              </w:rPr>
              <w:t>*</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800" w:type="dxa"/>
            <w:vAlign w:val="bottom"/>
            <w:gridSpan w:val="15"/>
          </w:tcPr>
          <w:p>
            <w:pPr>
              <w:spacing w:after="0" w:line="210" w:lineRule="exact"/>
              <w:rPr>
                <w:sz w:val="20"/>
                <w:szCs w:val="20"/>
                <w:color w:val="auto"/>
              </w:rPr>
            </w:pPr>
            <w:r>
              <w:rPr>
                <w:rFonts w:ascii="Times New Roman" w:cs="Times New Roman" w:eastAsia="Times New Roman" w:hAnsi="Times New Roman"/>
                <w:sz w:val="20"/>
                <w:szCs w:val="20"/>
                <w:color w:val="313131"/>
              </w:rPr>
              <w:t>Amended March 16, 2023)</w:t>
            </w:r>
          </w:p>
        </w:tc>
        <w:tc>
          <w:tcPr>
            <w:tcW w:w="900" w:type="dxa"/>
            <w:vAlign w:val="bottom"/>
            <w:gridSpan w:val="4"/>
            <w:vMerge w:val="continue"/>
          </w:tcPr>
          <w:p>
            <w:pPr>
              <w:spacing w:after="0"/>
              <w:rPr>
                <w:sz w:val="18"/>
                <w:szCs w:val="18"/>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4/21/2025</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10.3</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3"/>
            <w:shd w:val="clear" w:color="auto" w:fill="313131"/>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vMerge w:val="continue"/>
          </w:tcPr>
          <w:p>
            <w:pPr>
              <w:spacing w:after="0"/>
              <w:rPr>
                <w:sz w:val="19"/>
                <w:szCs w:val="19"/>
                <w:color w:val="auto"/>
              </w:rPr>
            </w:pPr>
          </w:p>
        </w:tc>
        <w:tc>
          <w:tcPr>
            <w:tcW w:w="6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Amended and Restated Employment Agreement, dated April 18, 2025,</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313131"/>
            </w:tcBorders>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Borders>
              <w:righ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00" w:type="dxa"/>
            <w:vAlign w:val="bottom"/>
            <w:gridSpan w:val="5"/>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shd w:val="clear" w:color="auto" w:fill="313131"/>
          </w:tcPr>
          <w:p>
            <w:pPr>
              <w:spacing w:after="0" w:line="20" w:lineRule="exact"/>
              <w:rPr>
                <w:sz w:val="1"/>
                <w:szCs w:val="1"/>
                <w:color w:val="auto"/>
              </w:rPr>
            </w:pPr>
          </w:p>
        </w:tc>
        <w:tc>
          <w:tcPr>
            <w:tcW w:w="1420" w:type="dxa"/>
            <w:vAlign w:val="bottom"/>
            <w:gridSpan w:val="7"/>
            <w:shd w:val="clear" w:color="auto" w:fill="31313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vMerge w:val="restart"/>
          </w:tcPr>
          <w:p>
            <w:pPr>
              <w:spacing w:after="0"/>
              <w:rPr>
                <w:sz w:val="18"/>
                <w:szCs w:val="18"/>
                <w:color w:val="auto"/>
              </w:rPr>
            </w:pPr>
          </w:p>
        </w:tc>
        <w:tc>
          <w:tcPr>
            <w:tcW w:w="6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20"/>
                <w:szCs w:val="20"/>
                <w:color w:val="313131"/>
                <w:w w:val="90"/>
              </w:rPr>
              <w:t>10.</w:t>
            </w:r>
            <w:r>
              <w:rPr>
                <w:rFonts w:ascii="Times New Roman" w:cs="Times New Roman" w:eastAsia="Times New Roman" w:hAnsi="Times New Roman"/>
                <w:sz w:val="20"/>
                <w:szCs w:val="20"/>
                <w:u w:val="single" w:color="auto"/>
                <w:color w:val="313131"/>
                <w:w w:val="90"/>
              </w:rPr>
              <w:t>14</w:t>
            </w:r>
            <w:r>
              <w:rPr>
                <w:rFonts w:ascii="Times New Roman" w:cs="Times New Roman" w:eastAsia="Times New Roman" w:hAnsi="Times New Roman"/>
                <w:sz w:val="20"/>
                <w:szCs w:val="20"/>
                <w:color w:val="000000"/>
                <w:w w:val="90"/>
              </w:rPr>
              <w:t>*</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gridSpan w:val="18"/>
          </w:tcPr>
          <w:p>
            <w:pPr>
              <w:spacing w:after="0" w:line="210" w:lineRule="exact"/>
              <w:rPr>
                <w:sz w:val="20"/>
                <w:szCs w:val="20"/>
                <w:color w:val="auto"/>
              </w:rPr>
            </w:pPr>
            <w:r>
              <w:rPr>
                <w:rFonts w:ascii="Times New Roman" w:cs="Times New Roman" w:eastAsia="Times New Roman" w:hAnsi="Times New Roman"/>
                <w:sz w:val="20"/>
                <w:szCs w:val="20"/>
                <w:color w:val="313131"/>
              </w:rPr>
              <w:t>by and between Registrant and Eric J. Schoen.</w:t>
            </w:r>
          </w:p>
        </w:tc>
        <w:tc>
          <w:tcPr>
            <w:tcW w:w="120" w:type="dxa"/>
            <w:vAlign w:val="bottom"/>
            <w:vMerge w:val="continue"/>
          </w:tcPr>
          <w:p>
            <w:pPr>
              <w:spacing w:after="0"/>
              <w:rPr>
                <w:sz w:val="18"/>
                <w:szCs w:val="18"/>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4/21/2025</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10.2</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640" w:type="dxa"/>
            <w:vAlign w:val="bottom"/>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6"/>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640" w:type="dxa"/>
            <w:vAlign w:val="bottom"/>
            <w:shd w:val="clear" w:color="auto" w:fill="313131"/>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vMerge w:val="continue"/>
          </w:tcPr>
          <w:p>
            <w:pPr>
              <w:spacing w:after="0"/>
              <w:rPr>
                <w:sz w:val="19"/>
                <w:szCs w:val="19"/>
                <w:color w:val="auto"/>
              </w:rPr>
            </w:pPr>
          </w:p>
        </w:tc>
        <w:tc>
          <w:tcPr>
            <w:tcW w:w="6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Amended and Restated Employment Agreement, dated April 18, 2025,</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313131"/>
            </w:tcBorders>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Borders>
              <w:righ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00" w:type="dxa"/>
            <w:vAlign w:val="bottom"/>
            <w:gridSpan w:val="5"/>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1100" w:type="dxa"/>
            <w:vAlign w:val="bottom"/>
            <w:gridSpan w:val="3"/>
            <w:shd w:val="clear" w:color="auto" w:fill="313131"/>
          </w:tcPr>
          <w:p>
            <w:pPr>
              <w:spacing w:after="0" w:line="20" w:lineRule="exact"/>
              <w:rPr>
                <w:sz w:val="1"/>
                <w:szCs w:val="1"/>
                <w:color w:val="auto"/>
              </w:rPr>
            </w:pPr>
          </w:p>
        </w:tc>
        <w:tc>
          <w:tcPr>
            <w:tcW w:w="1420" w:type="dxa"/>
            <w:vAlign w:val="bottom"/>
            <w:gridSpan w:val="7"/>
            <w:shd w:val="clear" w:color="auto" w:fill="31313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vMerge w:val="restart"/>
          </w:tcPr>
          <w:p>
            <w:pPr>
              <w:spacing w:after="0"/>
              <w:rPr>
                <w:sz w:val="18"/>
                <w:szCs w:val="18"/>
                <w:color w:val="auto"/>
              </w:rPr>
            </w:pPr>
          </w:p>
        </w:tc>
        <w:tc>
          <w:tcPr>
            <w:tcW w:w="6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20"/>
                <w:szCs w:val="20"/>
                <w:color w:val="313131"/>
                <w:w w:val="90"/>
              </w:rPr>
              <w:t>10.</w:t>
            </w:r>
            <w:r>
              <w:rPr>
                <w:rFonts w:ascii="Times New Roman" w:cs="Times New Roman" w:eastAsia="Times New Roman" w:hAnsi="Times New Roman"/>
                <w:sz w:val="20"/>
                <w:szCs w:val="20"/>
                <w:u w:val="single" w:color="auto"/>
                <w:color w:val="313131"/>
                <w:w w:val="90"/>
              </w:rPr>
              <w:t>16</w:t>
            </w:r>
            <w:r>
              <w:rPr>
                <w:rFonts w:ascii="Times New Roman" w:cs="Times New Roman" w:eastAsia="Times New Roman" w:hAnsi="Times New Roman"/>
                <w:sz w:val="20"/>
                <w:szCs w:val="20"/>
                <w:color w:val="000000"/>
                <w:w w:val="90"/>
              </w:rPr>
              <w:t>*</w:t>
            </w:r>
          </w:p>
        </w:tc>
        <w:tc>
          <w:tcPr>
            <w:tcW w:w="120" w:type="dxa"/>
            <w:vAlign w:val="bottom"/>
          </w:tcPr>
          <w:p>
            <w:pPr>
              <w:spacing w:after="0"/>
              <w:rPr>
                <w:sz w:val="18"/>
                <w:szCs w:val="18"/>
                <w:color w:val="auto"/>
              </w:rPr>
            </w:pPr>
          </w:p>
        </w:tc>
        <w:tc>
          <w:tcPr>
            <w:tcW w:w="20" w:type="dxa"/>
            <w:vAlign w:val="bottom"/>
            <w:tcBorders>
              <w:bottom w:val="single" w:sz="8" w:color="313131"/>
            </w:tcBorders>
            <w:vMerge w:val="continue"/>
          </w:tcPr>
          <w:p>
            <w:pPr>
              <w:spacing w:after="0"/>
              <w:rPr>
                <w:sz w:val="18"/>
                <w:szCs w:val="18"/>
                <w:color w:val="auto"/>
              </w:rPr>
            </w:pPr>
          </w:p>
        </w:tc>
        <w:tc>
          <w:tcPr>
            <w:tcW w:w="4160" w:type="dxa"/>
            <w:vAlign w:val="bottom"/>
            <w:tcBorders>
              <w:bottom w:val="single" w:sz="8" w:color="313131"/>
            </w:tcBorders>
            <w:gridSpan w:val="11"/>
          </w:tcPr>
          <w:p>
            <w:pPr>
              <w:spacing w:after="0" w:line="210" w:lineRule="exact"/>
              <w:rPr>
                <w:sz w:val="20"/>
                <w:szCs w:val="20"/>
                <w:color w:val="auto"/>
              </w:rPr>
            </w:pPr>
            <w:r>
              <w:rPr>
                <w:rFonts w:ascii="Times New Roman" w:cs="Times New Roman" w:eastAsia="Times New Roman" w:hAnsi="Times New Roman"/>
                <w:sz w:val="20"/>
                <w:szCs w:val="20"/>
                <w:color w:val="313131"/>
                <w:w w:val="99"/>
              </w:rPr>
              <w:t>by and between Registrant and R. Christopher Cook</w:t>
            </w:r>
          </w:p>
        </w:tc>
        <w:tc>
          <w:tcPr>
            <w:tcW w:w="1420" w:type="dxa"/>
            <w:vAlign w:val="bottom"/>
            <w:gridSpan w:val="7"/>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10/1/2024</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20" w:type="dxa"/>
            <w:vAlign w:val="bottom"/>
            <w:vMerge w:val="continue"/>
          </w:tcPr>
          <w:p>
            <w:pPr>
              <w:spacing w:after="0"/>
              <w:rPr>
                <w:sz w:val="19"/>
                <w:szCs w:val="19"/>
                <w:color w:val="auto"/>
              </w:rPr>
            </w:pPr>
          </w:p>
        </w:tc>
        <w:tc>
          <w:tcPr>
            <w:tcW w:w="64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Employment agreement, dated October 1, 2024, by and between</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313131"/>
            </w:tcBorders>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240" w:type="dxa"/>
            <w:vAlign w:val="bottom"/>
            <w:shd w:val="clear" w:color="auto" w:fill="313131"/>
          </w:tcPr>
          <w:p>
            <w:pPr>
              <w:spacing w:after="0" w:line="20" w:lineRule="exact"/>
              <w:rPr>
                <w:sz w:val="1"/>
                <w:szCs w:val="1"/>
                <w:color w:val="auto"/>
              </w:rPr>
            </w:pPr>
          </w:p>
        </w:tc>
        <w:tc>
          <w:tcPr>
            <w:tcW w:w="60" w:type="dxa"/>
            <w:vAlign w:val="bottom"/>
            <w:tcBorders>
              <w:righ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500" w:type="dxa"/>
            <w:vAlign w:val="bottom"/>
            <w:gridSpan w:val="5"/>
            <w:shd w:val="clear" w:color="auto" w:fill="313131"/>
          </w:tcPr>
          <w:p>
            <w:pPr>
              <w:spacing w:after="0" w:line="20" w:lineRule="exact"/>
              <w:rPr>
                <w:sz w:val="1"/>
                <w:szCs w:val="1"/>
                <w:color w:val="auto"/>
              </w:rPr>
            </w:pPr>
          </w:p>
        </w:tc>
        <w:tc>
          <w:tcPr>
            <w:tcW w:w="560" w:type="dxa"/>
            <w:vAlign w:val="bottom"/>
            <w:gridSpan w:val="3"/>
            <w:shd w:val="clear" w:color="auto" w:fill="313131"/>
          </w:tcPr>
          <w:p>
            <w:pPr>
              <w:spacing w:after="0" w:line="20" w:lineRule="exact"/>
              <w:rPr>
                <w:sz w:val="1"/>
                <w:szCs w:val="1"/>
                <w:color w:val="auto"/>
              </w:rPr>
            </w:pPr>
          </w:p>
        </w:tc>
        <w:tc>
          <w:tcPr>
            <w:tcW w:w="2520" w:type="dxa"/>
            <w:vAlign w:val="bottom"/>
            <w:gridSpan w:val="10"/>
            <w:shd w:val="clear" w:color="auto" w:fill="313131"/>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20"/>
                <w:szCs w:val="20"/>
                <w:color w:val="313131"/>
                <w:w w:val="99"/>
              </w:rPr>
              <w:t>10.</w:t>
            </w:r>
            <w:r>
              <w:rPr>
                <w:rFonts w:ascii="Times New Roman" w:cs="Times New Roman" w:eastAsia="Times New Roman" w:hAnsi="Times New Roman"/>
                <w:sz w:val="20"/>
                <w:szCs w:val="20"/>
                <w:u w:val="single" w:color="auto"/>
                <w:color w:val="313131"/>
                <w:w w:val="99"/>
              </w:rPr>
              <w:t>18</w:t>
            </w:r>
            <w:r>
              <w:rPr>
                <w:rFonts w:ascii="Times New Roman" w:cs="Times New Roman" w:eastAsia="Times New Roman" w:hAnsi="Times New Roman"/>
                <w:sz w:val="20"/>
                <w:szCs w:val="20"/>
                <w:color w:val="000000"/>
                <w:w w:val="99"/>
              </w:rPr>
              <w:t>+</w:t>
            </w: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5580" w:type="dxa"/>
            <w:vAlign w:val="bottom"/>
            <w:gridSpan w:val="18"/>
          </w:tcPr>
          <w:p>
            <w:pPr>
              <w:spacing w:after="0" w:line="208" w:lineRule="exact"/>
              <w:rPr>
                <w:sz w:val="20"/>
                <w:szCs w:val="20"/>
                <w:color w:val="auto"/>
              </w:rPr>
            </w:pPr>
            <w:r>
              <w:rPr>
                <w:rFonts w:ascii="Times New Roman" w:cs="Times New Roman" w:eastAsia="Times New Roman" w:hAnsi="Times New Roman"/>
                <w:sz w:val="20"/>
                <w:szCs w:val="20"/>
                <w:color w:val="313131"/>
              </w:rPr>
              <w:t>Registrant and Richard J. Barry</w:t>
            </w:r>
          </w:p>
        </w:tc>
        <w:tc>
          <w:tcPr>
            <w:tcW w:w="120" w:type="dxa"/>
            <w:vAlign w:val="bottom"/>
            <w:vMerge w:val="continue"/>
          </w:tcPr>
          <w:p>
            <w:pPr>
              <w:spacing w:after="0"/>
              <w:rPr>
                <w:sz w:val="18"/>
                <w:szCs w:val="18"/>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color w:val="auto"/>
                <w:w w:val="96"/>
              </w:rPr>
              <w:t>8-K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3/11/2021</w:t>
            </w:r>
          </w:p>
        </w:tc>
        <w:tc>
          <w:tcPr>
            <w:tcW w:w="980" w:type="dxa"/>
            <w:vAlign w:val="bottom"/>
            <w:vMerge w:val="restart"/>
          </w:tcPr>
          <w:p>
            <w:pPr>
              <w:jc w:val="center"/>
              <w:ind w:left="120"/>
              <w:spacing w:after="0"/>
              <w:rPr>
                <w:sz w:val="20"/>
                <w:szCs w:val="20"/>
                <w:color w:val="auto"/>
              </w:rPr>
            </w:pPr>
            <w:r>
              <w:rPr>
                <w:rFonts w:ascii="Times New Roman" w:cs="Times New Roman" w:eastAsia="Times New Roman" w:hAnsi="Times New Roman"/>
                <w:sz w:val="20"/>
                <w:szCs w:val="20"/>
                <w:color w:val="auto"/>
              </w:rPr>
              <w:t>10.1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gridSpan w:val="5"/>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6"/>
            <w:shd w:val="clear" w:color="auto" w:fill="313131"/>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0"/>
          </w:tcPr>
          <w:p>
            <w:pPr>
              <w:spacing w:after="0" w:line="220" w:lineRule="exact"/>
              <w:rPr>
                <w:sz w:val="20"/>
                <w:szCs w:val="20"/>
                <w:color w:val="auto"/>
              </w:rPr>
            </w:pPr>
            <w:r>
              <w:rPr>
                <w:rFonts w:ascii="Times New Roman" w:cs="Times New Roman" w:eastAsia="Times New Roman" w:hAnsi="Times New Roman"/>
                <w:sz w:val="20"/>
                <w:szCs w:val="20"/>
                <w:color w:val="313131"/>
              </w:rPr>
              <w:t>Master  Services  Agreement  between  Registrant and  Evonik</w:t>
            </w:r>
          </w:p>
        </w:tc>
        <w:tc>
          <w:tcPr>
            <w:tcW w:w="78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100" w:type="dxa"/>
            <w:vAlign w:val="bottom"/>
            <w:tcBorders>
              <w:top w:val="single" w:sz="8" w:color="313131"/>
            </w:tcBorders>
          </w:tcPr>
          <w:p>
            <w:pPr>
              <w:spacing w:after="0"/>
              <w:rPr>
                <w:sz w:val="18"/>
                <w:szCs w:val="18"/>
                <w:color w:val="auto"/>
              </w:rPr>
            </w:pPr>
          </w:p>
        </w:tc>
        <w:tc>
          <w:tcPr>
            <w:tcW w:w="240" w:type="dxa"/>
            <w:vAlign w:val="bottom"/>
            <w:tcBorders>
              <w:top w:val="single" w:sz="8" w:color="313131"/>
            </w:tcBorders>
          </w:tcPr>
          <w:p>
            <w:pPr>
              <w:spacing w:after="0"/>
              <w:rPr>
                <w:sz w:val="18"/>
                <w:szCs w:val="18"/>
                <w:color w:val="auto"/>
              </w:rPr>
            </w:pPr>
          </w:p>
        </w:tc>
        <w:tc>
          <w:tcPr>
            <w:tcW w:w="60" w:type="dxa"/>
            <w:vAlign w:val="bottom"/>
            <w:tcBorders>
              <w:top w:val="single" w:sz="8" w:color="313131"/>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60" w:type="dxa"/>
            <w:vAlign w:val="bottom"/>
            <w:tcBorders>
              <w:top w:val="single" w:sz="8" w:color="313131"/>
              <w:bottom w:val="single" w:sz="8" w:color="313131"/>
            </w:tcBorders>
            <w:gridSpan w:val="8"/>
          </w:tcPr>
          <w:p>
            <w:pPr>
              <w:spacing w:after="0" w:line="210" w:lineRule="exact"/>
              <w:rPr>
                <w:sz w:val="20"/>
                <w:szCs w:val="20"/>
                <w:color w:val="auto"/>
              </w:rPr>
            </w:pPr>
            <w:r>
              <w:rPr>
                <w:rFonts w:ascii="Times New Roman" w:cs="Times New Roman" w:eastAsia="Times New Roman" w:hAnsi="Times New Roman"/>
                <w:sz w:val="20"/>
                <w:szCs w:val="20"/>
                <w:color w:val="313131"/>
                <w:w w:val="98"/>
              </w:rPr>
              <w:t>Corporation, dated February 22, 2021.</w:t>
            </w:r>
          </w:p>
        </w:tc>
        <w:tc>
          <w:tcPr>
            <w:tcW w:w="2520" w:type="dxa"/>
            <w:vAlign w:val="bottom"/>
            <w:tcBorders>
              <w:top w:val="single" w:sz="8" w:color="313131"/>
            </w:tcBorders>
            <w:gridSpan w:val="10"/>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4"/>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gridSpan w:val="14"/>
          </w:tcPr>
          <w:p>
            <w:pPr>
              <w:jc w:val="right"/>
              <w:ind w:right="40"/>
              <w:spacing w:after="0"/>
              <w:rPr>
                <w:sz w:val="20"/>
                <w:szCs w:val="20"/>
                <w:color w:val="auto"/>
              </w:rPr>
            </w:pPr>
            <w:r>
              <w:rPr>
                <w:rFonts w:ascii="Times New Roman" w:cs="Times New Roman" w:eastAsia="Times New Roman" w:hAnsi="Times New Roman"/>
                <w:sz w:val="20"/>
                <w:szCs w:val="20"/>
                <w:color w:val="auto"/>
              </w:rPr>
              <w:t>106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115 / 117</w:t>
      </w:r>
    </w:p>
    <w:p>
      <w:pPr>
        <w:sectPr>
          <w:pgSz w:w="12240" w:h="15840" w:orient="portrait"/>
          <w:cols w:equalWidth="0" w:num="1">
            <w:col w:w="10800"/>
          </w:cols>
          <w:pgMar w:left="720" w:top="790" w:right="720" w:bottom="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70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color w:val="313131"/>
                <w:w w:val="99"/>
              </w:rPr>
              <w:t>10.</w:t>
            </w:r>
            <w:r>
              <w:rPr>
                <w:rFonts w:ascii="Times New Roman" w:cs="Times New Roman" w:eastAsia="Times New Roman" w:hAnsi="Times New Roman"/>
                <w:sz w:val="20"/>
                <w:szCs w:val="20"/>
                <w:u w:val="single" w:color="auto"/>
                <w:color w:val="313131"/>
                <w:w w:val="99"/>
              </w:rPr>
              <w:t>20</w:t>
            </w:r>
            <w:r>
              <w:rPr>
                <w:rFonts w:ascii="Times New Roman" w:cs="Times New Roman" w:eastAsia="Times New Roman" w:hAnsi="Times New Roman"/>
                <w:sz w:val="20"/>
                <w:szCs w:val="20"/>
                <w:color w:val="000000"/>
                <w:w w:val="99"/>
              </w:rPr>
              <w:t>+</w:t>
            </w:r>
          </w:p>
        </w:tc>
        <w:tc>
          <w:tcPr>
            <w:tcW w:w="120" w:type="dxa"/>
            <w:vAlign w:val="bottom"/>
          </w:tcPr>
          <w:p>
            <w:pPr>
              <w:spacing w:after="0"/>
              <w:rPr>
                <w:sz w:val="19"/>
                <w:szCs w:val="19"/>
                <w:color w:val="auto"/>
              </w:rPr>
            </w:pP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313131"/>
                <w:w w:val="99"/>
              </w:rPr>
              <w:t>Agreement of Sale and Purchase Between DWF IV Lakewood, LP and</w:t>
            </w:r>
          </w:p>
        </w:tc>
        <w:tc>
          <w:tcPr>
            <w:tcW w:w="7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11/15/2021</w:t>
            </w:r>
          </w:p>
        </w:tc>
        <w:tc>
          <w:tcPr>
            <w:tcW w:w="150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10.4</w:t>
            </w:r>
          </w:p>
        </w:tc>
        <w:tc>
          <w:tcPr>
            <w:tcW w:w="0" w:type="dxa"/>
            <w:vAlign w:val="bottom"/>
          </w:tcPr>
          <w:p>
            <w:pPr>
              <w:spacing w:after="0"/>
              <w:rPr>
                <w:sz w:val="1"/>
                <w:szCs w:val="1"/>
                <w:color w:val="auto"/>
              </w:rPr>
            </w:pPr>
          </w:p>
        </w:tc>
      </w:tr>
      <w:tr>
        <w:trPr>
          <w:trHeight w:val="20"/>
        </w:trPr>
        <w:tc>
          <w:tcPr>
            <w:tcW w:w="160" w:type="dxa"/>
            <w:vAlign w:val="bottom"/>
            <w:tcBorders>
              <w:right w:val="single" w:sz="8" w:color="313131"/>
            </w:tcBorders>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80" w:type="dxa"/>
            <w:vAlign w:val="bottom"/>
            <w:shd w:val="clear" w:color="auto" w:fill="313131"/>
          </w:tcPr>
          <w:p>
            <w:pPr>
              <w:spacing w:after="0" w:line="20" w:lineRule="exact"/>
              <w:rPr>
                <w:sz w:val="1"/>
                <w:szCs w:val="1"/>
                <w:color w:val="auto"/>
              </w:rPr>
            </w:pPr>
          </w:p>
        </w:tc>
        <w:tc>
          <w:tcPr>
            <w:tcW w:w="54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10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100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vMerge w:val="restart"/>
          </w:tcPr>
          <w:p>
            <w:pPr>
              <w:spacing w:after="0"/>
              <w:rPr>
                <w:sz w:val="18"/>
                <w:szCs w:val="18"/>
                <w:color w:val="auto"/>
              </w:rPr>
            </w:pPr>
          </w:p>
        </w:tc>
        <w:tc>
          <w:tcPr>
            <w:tcW w:w="70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20"/>
                <w:szCs w:val="20"/>
                <w:color w:val="313131"/>
                <w:w w:val="98"/>
              </w:rPr>
              <w:t>10.</w:t>
            </w:r>
            <w:r>
              <w:rPr>
                <w:rFonts w:ascii="Times New Roman" w:cs="Times New Roman" w:eastAsia="Times New Roman" w:hAnsi="Times New Roman"/>
                <w:sz w:val="20"/>
                <w:szCs w:val="20"/>
                <w:u w:val="single" w:color="auto"/>
                <w:color w:val="313131"/>
                <w:w w:val="98"/>
              </w:rPr>
              <w:t>21</w:t>
            </w:r>
            <w:r>
              <w:rPr>
                <w:rFonts w:ascii="Times New Roman" w:cs="Times New Roman" w:eastAsia="Times New Roman" w:hAnsi="Times New Roman"/>
                <w:sz w:val="20"/>
                <w:szCs w:val="20"/>
                <w:color w:val="000000"/>
                <w:w w:val="98"/>
              </w:rPr>
              <w:t>*</w:t>
            </w:r>
          </w:p>
        </w:tc>
        <w:tc>
          <w:tcPr>
            <w:tcW w:w="120" w:type="dxa"/>
            <w:vAlign w:val="bottom"/>
          </w:tcPr>
          <w:p>
            <w:pPr>
              <w:spacing w:after="0"/>
              <w:rPr>
                <w:sz w:val="18"/>
                <w:szCs w:val="18"/>
                <w:color w:val="auto"/>
              </w:rPr>
            </w:pPr>
          </w:p>
        </w:tc>
        <w:tc>
          <w:tcPr>
            <w:tcW w:w="20" w:type="dxa"/>
            <w:vAlign w:val="bottom"/>
            <w:tcBorders>
              <w:bottom w:val="single" w:sz="8" w:color="313131"/>
            </w:tcBorders>
            <w:vMerge w:val="continue"/>
          </w:tcPr>
          <w:p>
            <w:pPr>
              <w:spacing w:after="0"/>
              <w:rPr>
                <w:sz w:val="18"/>
                <w:szCs w:val="18"/>
                <w:color w:val="auto"/>
              </w:rPr>
            </w:pPr>
          </w:p>
        </w:tc>
        <w:tc>
          <w:tcPr>
            <w:tcW w:w="2320" w:type="dxa"/>
            <w:vAlign w:val="bottom"/>
            <w:tcBorders>
              <w:bottom w:val="single" w:sz="8" w:color="313131"/>
            </w:tcBorders>
            <w:gridSpan w:val="2"/>
          </w:tcPr>
          <w:p>
            <w:pPr>
              <w:spacing w:after="0" w:line="210" w:lineRule="exact"/>
              <w:rPr>
                <w:sz w:val="20"/>
                <w:szCs w:val="20"/>
                <w:color w:val="auto"/>
              </w:rPr>
            </w:pPr>
            <w:r>
              <w:rPr>
                <w:rFonts w:ascii="Times New Roman" w:cs="Times New Roman" w:eastAsia="Times New Roman" w:hAnsi="Times New Roman"/>
                <w:sz w:val="20"/>
                <w:szCs w:val="20"/>
                <w:color w:val="313131"/>
                <w:w w:val="98"/>
              </w:rPr>
              <w:t>Registrant dated July 2, 2021</w:t>
            </w:r>
          </w:p>
        </w:tc>
        <w:tc>
          <w:tcPr>
            <w:tcW w:w="3260" w:type="dxa"/>
            <w:vAlign w:val="bottom"/>
            <w:gridSpan w:val="9"/>
          </w:tcPr>
          <w:p>
            <w:pPr>
              <w:spacing w:after="0"/>
              <w:rPr>
                <w:sz w:val="18"/>
                <w:szCs w:val="18"/>
                <w:color w:val="auto"/>
              </w:rPr>
            </w:pPr>
          </w:p>
        </w:tc>
        <w:tc>
          <w:tcPr>
            <w:tcW w:w="100" w:type="dxa"/>
            <w:vAlign w:val="bottom"/>
            <w:vMerge w:val="continue"/>
          </w:tcPr>
          <w:p>
            <w:pPr>
              <w:spacing w:after="0"/>
              <w:rPr>
                <w:sz w:val="18"/>
                <w:szCs w:val="18"/>
                <w:color w:val="auto"/>
              </w:rPr>
            </w:pPr>
          </w:p>
        </w:tc>
        <w:tc>
          <w:tcPr>
            <w:tcW w:w="76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8/4/2022</w:t>
            </w: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20"/>
        </w:trPr>
        <w:tc>
          <w:tcPr>
            <w:tcW w:w="160" w:type="dxa"/>
            <w:vAlign w:val="bottom"/>
            <w:vMerge w:val="continue"/>
          </w:tcPr>
          <w:p>
            <w:pPr>
              <w:spacing w:after="0"/>
              <w:rPr>
                <w:sz w:val="19"/>
                <w:szCs w:val="19"/>
                <w:color w:val="auto"/>
              </w:rPr>
            </w:pPr>
          </w:p>
        </w:tc>
        <w:tc>
          <w:tcPr>
            <w:tcW w:w="7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Amendment 1 to 2018 Omnibus Incentive Plan</w:t>
            </w:r>
          </w:p>
        </w:tc>
        <w:tc>
          <w:tcPr>
            <w:tcW w:w="7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313131"/>
          </w:tcPr>
          <w:p>
            <w:pPr>
              <w:spacing w:after="0" w:line="20" w:lineRule="exact"/>
              <w:rPr>
                <w:sz w:val="1"/>
                <w:szCs w:val="1"/>
                <w:color w:val="auto"/>
              </w:rPr>
            </w:pPr>
          </w:p>
        </w:tc>
        <w:tc>
          <w:tcPr>
            <w:tcW w:w="600" w:type="dxa"/>
            <w:vAlign w:val="bottom"/>
            <w:gridSpan w:val="2"/>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100" w:type="dxa"/>
            <w:vAlign w:val="bottom"/>
            <w:shd w:val="clear" w:color="auto" w:fill="31313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rPr>
              <w:t>10-Q</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8/3/2023</w:t>
            </w: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line="20" w:lineRule="exact"/>
              <w:rPr>
                <w:sz w:val="1"/>
                <w:szCs w:val="1"/>
                <w:color w:val="auto"/>
              </w:rPr>
            </w:pPr>
          </w:p>
        </w:tc>
      </w:tr>
      <w:tr>
        <w:trPr>
          <w:trHeight w:val="220"/>
        </w:trPr>
        <w:tc>
          <w:tcPr>
            <w:tcW w:w="860" w:type="dxa"/>
            <w:vAlign w:val="bottom"/>
            <w:gridSpan w:val="6"/>
          </w:tcPr>
          <w:p>
            <w:pPr>
              <w:jc w:val="center"/>
              <w:spacing w:after="0" w:line="221" w:lineRule="exact"/>
              <w:rPr>
                <w:sz w:val="20"/>
                <w:szCs w:val="20"/>
                <w:color w:val="auto"/>
              </w:rPr>
            </w:pPr>
            <w:r>
              <w:rPr>
                <w:rFonts w:ascii="Times New Roman" w:cs="Times New Roman" w:eastAsia="Times New Roman" w:hAnsi="Times New Roman"/>
                <w:sz w:val="20"/>
                <w:szCs w:val="20"/>
                <w:color w:val="313131"/>
                <w:w w:val="98"/>
              </w:rPr>
              <w:t>10.</w:t>
            </w:r>
            <w:r>
              <w:rPr>
                <w:rFonts w:ascii="Times New Roman" w:cs="Times New Roman" w:eastAsia="Times New Roman" w:hAnsi="Times New Roman"/>
                <w:sz w:val="20"/>
                <w:szCs w:val="20"/>
                <w:u w:val="single" w:color="auto"/>
                <w:color w:val="313131"/>
                <w:w w:val="98"/>
              </w:rPr>
              <w:t>23</w:t>
            </w:r>
            <w:r>
              <w:rPr>
                <w:rFonts w:ascii="Times New Roman" w:cs="Times New Roman" w:eastAsia="Times New Roman" w:hAnsi="Times New Roman"/>
                <w:sz w:val="20"/>
                <w:szCs w:val="20"/>
                <w:color w:val="000000"/>
                <w:w w:val="98"/>
              </w:rPr>
              <w:t>*</w:t>
            </w:r>
          </w:p>
        </w:tc>
        <w:tc>
          <w:tcPr>
            <w:tcW w:w="120" w:type="dxa"/>
            <w:vAlign w:val="bottom"/>
          </w:tcPr>
          <w:p>
            <w:pPr>
              <w:spacing w:after="0"/>
              <w:rPr>
                <w:sz w:val="19"/>
                <w:szCs w:val="19"/>
                <w:color w:val="auto"/>
              </w:rPr>
            </w:pPr>
          </w:p>
        </w:tc>
        <w:tc>
          <w:tcPr>
            <w:tcW w:w="5700" w:type="dxa"/>
            <w:vAlign w:val="bottom"/>
            <w:gridSpan w:val="13"/>
          </w:tcPr>
          <w:p>
            <w:pPr>
              <w:spacing w:after="0" w:line="221" w:lineRule="exact"/>
              <w:rPr>
                <w:sz w:val="20"/>
                <w:szCs w:val="20"/>
                <w:color w:val="auto"/>
              </w:rPr>
            </w:pPr>
            <w:r>
              <w:rPr>
                <w:rFonts w:ascii="Times New Roman" w:cs="Times New Roman" w:eastAsia="Times New Roman" w:hAnsi="Times New Roman"/>
                <w:sz w:val="20"/>
                <w:szCs w:val="20"/>
                <w:color w:val="313131"/>
              </w:rPr>
              <w:t>Cassava Sciences Non-Employee Director Compensation Plan</w:t>
            </w:r>
          </w:p>
        </w:tc>
        <w:tc>
          <w:tcPr>
            <w:tcW w:w="7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shd w:val="clear" w:color="auto" w:fill="31313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313131"/>
          </w:tcPr>
          <w:p>
            <w:pPr>
              <w:spacing w:after="0" w:line="20" w:lineRule="exact"/>
              <w:rPr>
                <w:sz w:val="1"/>
                <w:szCs w:val="1"/>
                <w:color w:val="auto"/>
              </w:rPr>
            </w:pPr>
          </w:p>
        </w:tc>
        <w:tc>
          <w:tcPr>
            <w:tcW w:w="600" w:type="dxa"/>
            <w:vAlign w:val="bottom"/>
            <w:gridSpan w:val="2"/>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160" w:type="dxa"/>
            <w:vAlign w:val="bottom"/>
            <w:gridSpan w:val="2"/>
            <w:shd w:val="clear" w:color="auto" w:fill="313131"/>
          </w:tcPr>
          <w:p>
            <w:pPr>
              <w:spacing w:after="0" w:line="20" w:lineRule="exact"/>
              <w:rPr>
                <w:sz w:val="1"/>
                <w:szCs w:val="1"/>
                <w:color w:val="auto"/>
              </w:rPr>
            </w:pPr>
          </w:p>
        </w:tc>
        <w:tc>
          <w:tcPr>
            <w:tcW w:w="100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w w:val="96"/>
              </w:rPr>
              <w:t>8-K</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2/27/2025</w:t>
            </w: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line="20" w:lineRule="exact"/>
              <w:rPr>
                <w:sz w:val="1"/>
                <w:szCs w:val="1"/>
                <w:color w:val="auto"/>
              </w:rPr>
            </w:pPr>
          </w:p>
        </w:tc>
      </w:tr>
      <w:tr>
        <w:trPr>
          <w:trHeight w:val="220"/>
        </w:trPr>
        <w:tc>
          <w:tcPr>
            <w:tcW w:w="160" w:type="dxa"/>
            <w:vAlign w:val="bottom"/>
          </w:tcPr>
          <w:p>
            <w:pPr>
              <w:spacing w:after="0"/>
              <w:rPr>
                <w:sz w:val="19"/>
                <w:szCs w:val="19"/>
                <w:color w:val="auto"/>
              </w:rPr>
            </w:pPr>
          </w:p>
        </w:tc>
        <w:tc>
          <w:tcPr>
            <w:tcW w:w="700" w:type="dxa"/>
            <w:vAlign w:val="bottom"/>
            <w:gridSpan w:val="5"/>
          </w:tcPr>
          <w:p>
            <w:pPr>
              <w:jc w:val="center"/>
              <w:ind w:right="140"/>
              <w:spacing w:after="0" w:line="220" w:lineRule="exact"/>
              <w:rPr>
                <w:sz w:val="20"/>
                <w:szCs w:val="20"/>
                <w:color w:val="auto"/>
              </w:rPr>
            </w:pPr>
            <w:r>
              <w:rPr>
                <w:rFonts w:ascii="Times New Roman" w:cs="Times New Roman" w:eastAsia="Times New Roman" w:hAnsi="Times New Roman"/>
                <w:sz w:val="20"/>
                <w:szCs w:val="20"/>
                <w:color w:val="313131"/>
                <w:w w:val="99"/>
              </w:rPr>
              <w:t>10.</w:t>
            </w:r>
            <w:r>
              <w:rPr>
                <w:rFonts w:ascii="Times New Roman" w:cs="Times New Roman" w:eastAsia="Times New Roman" w:hAnsi="Times New Roman"/>
                <w:sz w:val="20"/>
                <w:szCs w:val="20"/>
                <w:u w:val="single" w:color="auto"/>
                <w:color w:val="313131"/>
                <w:w w:val="99"/>
              </w:rPr>
              <w:t>25</w:t>
            </w:r>
            <w:r>
              <w:rPr>
                <w:rFonts w:ascii="Times New Roman" w:cs="Times New Roman" w:eastAsia="Times New Roman" w:hAnsi="Times New Roman"/>
                <w:sz w:val="20"/>
                <w:szCs w:val="20"/>
                <w:color w:val="000000"/>
                <w:w w:val="99"/>
              </w:rPr>
              <w:t>+</w:t>
            </w: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License  Agreement,  dated February 26,  2025,  by  and between</w:t>
            </w:r>
          </w:p>
        </w:tc>
        <w:tc>
          <w:tcPr>
            <w:tcW w:w="76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0" w:type="dxa"/>
            <w:vAlign w:val="bottom"/>
            <w:vMerge w:val="restart"/>
          </w:tcPr>
          <w:p>
            <w:pPr>
              <w:spacing w:after="0"/>
              <w:rPr>
                <w:sz w:val="18"/>
                <w:szCs w:val="18"/>
                <w:color w:val="auto"/>
              </w:rPr>
            </w:pPr>
          </w:p>
        </w:tc>
        <w:tc>
          <w:tcPr>
            <w:tcW w:w="380" w:type="dxa"/>
            <w:vAlign w:val="bottom"/>
            <w:tcBorders>
              <w:top w:val="single" w:sz="8" w:color="313131"/>
              <w:bottom w:val="single" w:sz="8" w:color="313131"/>
            </w:tcBorders>
            <w:gridSpan w:val="3"/>
            <w:vMerge w:val="restart"/>
          </w:tcPr>
          <w:p>
            <w:pPr>
              <w:jc w:val="center"/>
              <w:spacing w:after="0"/>
              <w:rPr>
                <w:sz w:val="20"/>
                <w:szCs w:val="20"/>
                <w:color w:val="auto"/>
              </w:rPr>
            </w:pPr>
            <w:r>
              <w:rPr>
                <w:rFonts w:ascii="Times New Roman" w:cs="Times New Roman" w:eastAsia="Times New Roman" w:hAnsi="Times New Roman"/>
                <w:sz w:val="20"/>
                <w:szCs w:val="20"/>
                <w:color w:val="313131"/>
                <w:w w:val="96"/>
              </w:rPr>
              <w:t>19.</w:t>
            </w:r>
            <w:r>
              <w:rPr>
                <w:rFonts w:ascii="Times New Roman" w:cs="Times New Roman" w:eastAsia="Times New Roman" w:hAnsi="Times New Roman"/>
                <w:sz w:val="20"/>
                <w:szCs w:val="20"/>
                <w:u w:val="single" w:color="auto"/>
                <w:color w:val="313131"/>
                <w:w w:val="96"/>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313131"/>
            </w:tcBorders>
          </w:tcPr>
          <w:p>
            <w:pPr>
              <w:spacing w:after="0"/>
              <w:rPr>
                <w:sz w:val="18"/>
                <w:szCs w:val="18"/>
                <w:color w:val="auto"/>
              </w:rPr>
            </w:pPr>
          </w:p>
        </w:tc>
        <w:tc>
          <w:tcPr>
            <w:tcW w:w="2460" w:type="dxa"/>
            <w:vAlign w:val="bottom"/>
            <w:tcBorders>
              <w:top w:val="single" w:sz="8" w:color="313131"/>
              <w:bottom w:val="single" w:sz="8" w:color="313131"/>
            </w:tcBorders>
            <w:gridSpan w:val="4"/>
          </w:tcPr>
          <w:p>
            <w:pPr>
              <w:spacing w:after="0" w:line="208" w:lineRule="exact"/>
              <w:rPr>
                <w:sz w:val="20"/>
                <w:szCs w:val="20"/>
                <w:color w:val="auto"/>
              </w:rPr>
            </w:pPr>
            <w:r>
              <w:rPr>
                <w:rFonts w:ascii="Times New Roman" w:cs="Times New Roman" w:eastAsia="Times New Roman" w:hAnsi="Times New Roman"/>
                <w:sz w:val="20"/>
                <w:szCs w:val="20"/>
                <w:color w:val="313131"/>
                <w:w w:val="98"/>
              </w:rPr>
              <w:t>Registrant and Yale University</w:t>
            </w:r>
          </w:p>
        </w:tc>
        <w:tc>
          <w:tcPr>
            <w:tcW w:w="3120" w:type="dxa"/>
            <w:vAlign w:val="bottom"/>
            <w:tcBorders>
              <w:top w:val="single" w:sz="8" w:color="313131"/>
            </w:tcBorders>
            <w:gridSpan w:val="7"/>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20"/>
        </w:trPr>
        <w:tc>
          <w:tcPr>
            <w:tcW w:w="160" w:type="dxa"/>
            <w:vAlign w:val="bottom"/>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Insider Trading Policy</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31313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line="20" w:lineRule="exact"/>
              <w:rPr>
                <w:sz w:val="1"/>
                <w:szCs w:val="1"/>
                <w:color w:val="auto"/>
              </w:rPr>
            </w:pPr>
          </w:p>
        </w:tc>
      </w:tr>
      <w:tr>
        <w:trPr>
          <w:trHeight w:val="220"/>
        </w:trPr>
        <w:tc>
          <w:tcPr>
            <w:tcW w:w="540" w:type="dxa"/>
            <w:vAlign w:val="bottom"/>
            <w:gridSpan w:val="4"/>
          </w:tcPr>
          <w:p>
            <w:pPr>
              <w:jc w:val="center"/>
              <w:ind w:left="100"/>
              <w:spacing w:after="0" w:line="220" w:lineRule="exact"/>
              <w:rPr>
                <w:sz w:val="20"/>
                <w:szCs w:val="20"/>
                <w:color w:val="auto"/>
              </w:rPr>
            </w:pPr>
            <w:r>
              <w:rPr>
                <w:rFonts w:ascii="Times New Roman" w:cs="Times New Roman" w:eastAsia="Times New Roman" w:hAnsi="Times New Roman"/>
                <w:sz w:val="20"/>
                <w:szCs w:val="20"/>
                <w:color w:val="313131"/>
                <w:w w:val="96"/>
              </w:rPr>
              <w:t>21.</w:t>
            </w:r>
            <w:r>
              <w:rPr>
                <w:rFonts w:ascii="Times New Roman" w:cs="Times New Roman" w:eastAsia="Times New Roman" w:hAnsi="Times New Roman"/>
                <w:sz w:val="20"/>
                <w:szCs w:val="20"/>
                <w:u w:val="single" w:color="auto"/>
                <w:color w:val="313131"/>
                <w:w w:val="96"/>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Subsidiaries of the Registrant.</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3"/>
            <w:shd w:val="clear" w:color="auto" w:fill="31313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line="20" w:lineRule="exact"/>
              <w:rPr>
                <w:sz w:val="1"/>
                <w:szCs w:val="1"/>
                <w:color w:val="auto"/>
              </w:rPr>
            </w:pPr>
          </w:p>
        </w:tc>
      </w:tr>
      <w:tr>
        <w:trPr>
          <w:trHeight w:val="220"/>
        </w:trPr>
        <w:tc>
          <w:tcPr>
            <w:tcW w:w="540" w:type="dxa"/>
            <w:vAlign w:val="bottom"/>
            <w:gridSpan w:val="4"/>
          </w:tcPr>
          <w:p>
            <w:pPr>
              <w:jc w:val="center"/>
              <w:ind w:left="100"/>
              <w:spacing w:after="0" w:line="220" w:lineRule="exact"/>
              <w:rPr>
                <w:sz w:val="20"/>
                <w:szCs w:val="20"/>
                <w:color w:val="auto"/>
              </w:rPr>
            </w:pPr>
            <w:r>
              <w:rPr>
                <w:rFonts w:ascii="Times New Roman" w:cs="Times New Roman" w:eastAsia="Times New Roman" w:hAnsi="Times New Roman"/>
                <w:sz w:val="20"/>
                <w:szCs w:val="20"/>
                <w:color w:val="313131"/>
                <w:w w:val="96"/>
              </w:rPr>
              <w:t>23.</w:t>
            </w:r>
            <w:r>
              <w:rPr>
                <w:rFonts w:ascii="Times New Roman" w:cs="Times New Roman" w:eastAsia="Times New Roman" w:hAnsi="Times New Roman"/>
                <w:sz w:val="20"/>
                <w:szCs w:val="20"/>
                <w:u w:val="single" w:color="auto"/>
                <w:color w:val="313131"/>
                <w:w w:val="96"/>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Consent of Independent Registered Public Accounting Firm.</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5"/>
            <w:shd w:val="clear" w:color="auto" w:fill="313131"/>
          </w:tcPr>
          <w:p>
            <w:pPr>
              <w:spacing w:after="0" w:line="20" w:lineRule="exact"/>
              <w:rPr>
                <w:sz w:val="1"/>
                <w:szCs w:val="1"/>
                <w:color w:val="auto"/>
              </w:rPr>
            </w:pPr>
          </w:p>
        </w:tc>
        <w:tc>
          <w:tcPr>
            <w:tcW w:w="1160" w:type="dxa"/>
            <w:vAlign w:val="bottom"/>
            <w:gridSpan w:val="2"/>
            <w:shd w:val="clear" w:color="auto" w:fill="313131"/>
          </w:tcPr>
          <w:p>
            <w:pPr>
              <w:spacing w:after="0" w:line="20" w:lineRule="exact"/>
              <w:rPr>
                <w:sz w:val="1"/>
                <w:szCs w:val="1"/>
                <w:color w:val="auto"/>
              </w:rPr>
            </w:pPr>
          </w:p>
        </w:tc>
        <w:tc>
          <w:tcPr>
            <w:tcW w:w="1000" w:type="dxa"/>
            <w:vAlign w:val="bottom"/>
            <w:shd w:val="clear" w:color="auto" w:fill="31313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0" w:type="dxa"/>
            <w:vAlign w:val="bottom"/>
            <w:gridSpan w:val="4"/>
          </w:tcPr>
          <w:p>
            <w:pPr>
              <w:jc w:val="center"/>
              <w:ind w:left="100"/>
              <w:spacing w:after="0" w:line="220" w:lineRule="exact"/>
              <w:rPr>
                <w:sz w:val="20"/>
                <w:szCs w:val="20"/>
                <w:color w:val="auto"/>
              </w:rPr>
            </w:pPr>
            <w:r>
              <w:rPr>
                <w:rFonts w:ascii="Times New Roman" w:cs="Times New Roman" w:eastAsia="Times New Roman" w:hAnsi="Times New Roman"/>
                <w:sz w:val="20"/>
                <w:szCs w:val="20"/>
                <w:color w:val="313131"/>
                <w:w w:val="96"/>
              </w:rPr>
              <w:t>31.</w:t>
            </w:r>
            <w:r>
              <w:rPr>
                <w:rFonts w:ascii="Times New Roman" w:cs="Times New Roman" w:eastAsia="Times New Roman" w:hAnsi="Times New Roman"/>
                <w:sz w:val="20"/>
                <w:szCs w:val="20"/>
                <w:u w:val="single" w:color="auto"/>
                <w:color w:val="313131"/>
                <w:w w:val="96"/>
              </w:rPr>
              <w:t>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Certification of Principal Executive Officer pursuant to Section 302 of</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313131"/>
          </w:tcPr>
          <w:p>
            <w:pPr>
              <w:spacing w:after="0" w:line="20" w:lineRule="exact"/>
              <w:rPr>
                <w:sz w:val="1"/>
                <w:szCs w:val="1"/>
                <w:color w:val="auto"/>
              </w:rPr>
            </w:pPr>
          </w:p>
        </w:tc>
        <w:tc>
          <w:tcPr>
            <w:tcW w:w="54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10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100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40" w:type="dxa"/>
            <w:vAlign w:val="bottom"/>
            <w:gridSpan w:val="4"/>
            <w:vMerge w:val="restart"/>
          </w:tcPr>
          <w:p>
            <w:pPr>
              <w:jc w:val="center"/>
              <w:ind w:left="100"/>
              <w:spacing w:after="0"/>
              <w:rPr>
                <w:sz w:val="20"/>
                <w:szCs w:val="20"/>
                <w:color w:val="auto"/>
              </w:rPr>
            </w:pPr>
            <w:r>
              <w:rPr>
                <w:rFonts w:ascii="Times New Roman" w:cs="Times New Roman" w:eastAsia="Times New Roman" w:hAnsi="Times New Roman"/>
                <w:sz w:val="20"/>
                <w:szCs w:val="20"/>
                <w:color w:val="313131"/>
                <w:w w:val="96"/>
              </w:rPr>
              <w:t>31.</w:t>
            </w:r>
            <w:r>
              <w:rPr>
                <w:rFonts w:ascii="Times New Roman" w:cs="Times New Roman" w:eastAsia="Times New Roman" w:hAnsi="Times New Roman"/>
                <w:sz w:val="20"/>
                <w:szCs w:val="20"/>
                <w:u w:val="single" w:color="auto"/>
                <w:color w:val="313131"/>
                <w:w w:val="96"/>
              </w:rPr>
              <w:t>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6"/>
            <w:vMerge w:val="restart"/>
          </w:tcPr>
          <w:p>
            <w:pPr>
              <w:spacing w:after="0" w:line="210" w:lineRule="exact"/>
              <w:rPr>
                <w:sz w:val="20"/>
                <w:szCs w:val="20"/>
                <w:color w:val="auto"/>
              </w:rPr>
            </w:pPr>
            <w:r>
              <w:rPr>
                <w:rFonts w:ascii="Times New Roman" w:cs="Times New Roman" w:eastAsia="Times New Roman" w:hAnsi="Times New Roman"/>
                <w:sz w:val="20"/>
                <w:szCs w:val="20"/>
                <w:color w:val="313131"/>
              </w:rPr>
              <w:t>the Sarbanes-Oxley Act of 2002.</w:t>
            </w:r>
          </w:p>
        </w:tc>
        <w:tc>
          <w:tcPr>
            <w:tcW w:w="3020" w:type="dxa"/>
            <w:vAlign w:val="bottom"/>
            <w:gridSpan w:val="7"/>
            <w:vMerge w:val="restart"/>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Borders>
              <w:bottom w:val="single" w:sz="8" w:color="313131"/>
            </w:tcBorders>
            <w:gridSpan w:val="6"/>
            <w:vMerge w:val="continue"/>
          </w:tcPr>
          <w:p>
            <w:pPr>
              <w:spacing w:after="0"/>
              <w:rPr>
                <w:sz w:val="6"/>
                <w:szCs w:val="6"/>
                <w:color w:val="auto"/>
              </w:rPr>
            </w:pPr>
          </w:p>
        </w:tc>
        <w:tc>
          <w:tcPr>
            <w:tcW w:w="3020" w:type="dxa"/>
            <w:vAlign w:val="bottom"/>
            <w:gridSpan w:val="7"/>
            <w:vMerge w:val="continue"/>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Certification of Principal Financial Officer pursuant to Section 302 of</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80" w:type="dxa"/>
            <w:vAlign w:val="bottom"/>
            <w:tcBorders>
              <w:left w:val="single" w:sz="8" w:color="313131"/>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313131"/>
          </w:tcPr>
          <w:p>
            <w:pPr>
              <w:spacing w:after="0" w:line="20" w:lineRule="exact"/>
              <w:rPr>
                <w:sz w:val="1"/>
                <w:szCs w:val="1"/>
                <w:color w:val="auto"/>
              </w:rPr>
            </w:pPr>
          </w:p>
        </w:tc>
        <w:tc>
          <w:tcPr>
            <w:tcW w:w="54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80" w:type="dxa"/>
            <w:vAlign w:val="bottom"/>
            <w:shd w:val="clear" w:color="auto" w:fill="313131"/>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1100" w:type="dxa"/>
            <w:vAlign w:val="bottom"/>
            <w:shd w:val="clear" w:color="auto" w:fill="313131"/>
          </w:tcPr>
          <w:p>
            <w:pPr>
              <w:spacing w:after="0" w:line="20" w:lineRule="exact"/>
              <w:rPr>
                <w:sz w:val="1"/>
                <w:szCs w:val="1"/>
                <w:color w:val="auto"/>
              </w:rPr>
            </w:pPr>
          </w:p>
        </w:tc>
        <w:tc>
          <w:tcPr>
            <w:tcW w:w="60" w:type="dxa"/>
            <w:vAlign w:val="bottom"/>
            <w:shd w:val="clear" w:color="auto" w:fill="313131"/>
          </w:tcPr>
          <w:p>
            <w:pPr>
              <w:spacing w:after="0" w:line="20" w:lineRule="exact"/>
              <w:rPr>
                <w:sz w:val="1"/>
                <w:szCs w:val="1"/>
                <w:color w:val="auto"/>
              </w:rPr>
            </w:pPr>
          </w:p>
        </w:tc>
        <w:tc>
          <w:tcPr>
            <w:tcW w:w="100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440" w:type="dxa"/>
            <w:vAlign w:val="bottom"/>
            <w:shd w:val="clear" w:color="auto" w:fill="313131"/>
          </w:tcPr>
          <w:p>
            <w:pPr>
              <w:spacing w:after="0" w:line="20" w:lineRule="exact"/>
              <w:rPr>
                <w:sz w:val="1"/>
                <w:szCs w:val="1"/>
                <w:color w:val="auto"/>
              </w:rPr>
            </w:pPr>
          </w:p>
        </w:tc>
        <w:tc>
          <w:tcPr>
            <w:tcW w:w="160" w:type="dxa"/>
            <w:vAlign w:val="bottom"/>
            <w:shd w:val="clear" w:color="auto" w:fill="3131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40" w:type="dxa"/>
            <w:vAlign w:val="bottom"/>
            <w:gridSpan w:val="4"/>
            <w:vMerge w:val="restart"/>
          </w:tcPr>
          <w:p>
            <w:pPr>
              <w:jc w:val="center"/>
              <w:ind w:left="100"/>
              <w:spacing w:after="0"/>
              <w:rPr>
                <w:sz w:val="20"/>
                <w:szCs w:val="20"/>
                <w:color w:val="auto"/>
              </w:rPr>
            </w:pPr>
            <w:r>
              <w:rPr>
                <w:rFonts w:ascii="Times New Roman" w:cs="Times New Roman" w:eastAsia="Times New Roman" w:hAnsi="Times New Roman"/>
                <w:sz w:val="20"/>
                <w:szCs w:val="20"/>
                <w:color w:val="313131"/>
                <w:w w:val="96"/>
              </w:rPr>
              <w:t>32.</w:t>
            </w:r>
            <w:r>
              <w:rPr>
                <w:rFonts w:ascii="Times New Roman" w:cs="Times New Roman" w:eastAsia="Times New Roman" w:hAnsi="Times New Roman"/>
                <w:sz w:val="20"/>
                <w:szCs w:val="20"/>
                <w:u w:val="single" w:color="auto"/>
                <w:color w:val="313131"/>
                <w:w w:val="96"/>
              </w:rPr>
              <w:t>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6"/>
            <w:vMerge w:val="restart"/>
          </w:tcPr>
          <w:p>
            <w:pPr>
              <w:spacing w:after="0" w:line="210" w:lineRule="exact"/>
              <w:rPr>
                <w:sz w:val="20"/>
                <w:szCs w:val="20"/>
                <w:color w:val="auto"/>
              </w:rPr>
            </w:pPr>
            <w:r>
              <w:rPr>
                <w:rFonts w:ascii="Times New Roman" w:cs="Times New Roman" w:eastAsia="Times New Roman" w:hAnsi="Times New Roman"/>
                <w:sz w:val="20"/>
                <w:szCs w:val="20"/>
                <w:color w:val="313131"/>
              </w:rPr>
              <w:t>the Sarbanes-Oxley Act of 2002.</w:t>
            </w:r>
          </w:p>
        </w:tc>
        <w:tc>
          <w:tcPr>
            <w:tcW w:w="3020" w:type="dxa"/>
            <w:vAlign w:val="bottom"/>
            <w:gridSpan w:val="7"/>
            <w:vMerge w:val="restart"/>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Borders>
              <w:bottom w:val="single" w:sz="8" w:color="313131"/>
            </w:tcBorders>
            <w:gridSpan w:val="6"/>
            <w:vMerge w:val="continue"/>
          </w:tcPr>
          <w:p>
            <w:pPr>
              <w:spacing w:after="0"/>
              <w:rPr>
                <w:sz w:val="6"/>
                <w:szCs w:val="6"/>
                <w:color w:val="auto"/>
              </w:rPr>
            </w:pPr>
          </w:p>
        </w:tc>
        <w:tc>
          <w:tcPr>
            <w:tcW w:w="3020" w:type="dxa"/>
            <w:vAlign w:val="bottom"/>
            <w:gridSpan w:val="7"/>
            <w:vMerge w:val="continue"/>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Certifications of the Chief Executive Officer and the Chief Financial</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313131"/>
            </w:tcBorders>
          </w:tcPr>
          <w:p>
            <w:pPr>
              <w:spacing w:after="0"/>
              <w:rPr>
                <w:sz w:val="18"/>
                <w:szCs w:val="18"/>
                <w:color w:val="auto"/>
              </w:rPr>
            </w:pPr>
          </w:p>
        </w:tc>
        <w:tc>
          <w:tcPr>
            <w:tcW w:w="200" w:type="dxa"/>
            <w:vAlign w:val="bottom"/>
            <w:tcBorders>
              <w:top w:val="single" w:sz="8" w:color="313131"/>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313131"/>
            </w:tcBorders>
          </w:tcPr>
          <w:p>
            <w:pPr>
              <w:spacing w:after="0"/>
              <w:rPr>
                <w:sz w:val="18"/>
                <w:szCs w:val="18"/>
                <w:color w:val="auto"/>
              </w:rPr>
            </w:pPr>
          </w:p>
        </w:tc>
        <w:tc>
          <w:tcPr>
            <w:tcW w:w="5580" w:type="dxa"/>
            <w:vAlign w:val="bottom"/>
            <w:tcBorders>
              <w:top w:val="single" w:sz="8" w:color="313131"/>
              <w:bottom w:val="single" w:sz="8" w:color="313131"/>
            </w:tcBorders>
            <w:gridSpan w:val="11"/>
          </w:tcPr>
          <w:p>
            <w:pPr>
              <w:spacing w:after="0" w:line="210" w:lineRule="exact"/>
              <w:rPr>
                <w:sz w:val="20"/>
                <w:szCs w:val="20"/>
                <w:color w:val="auto"/>
              </w:rPr>
            </w:pPr>
            <w:r>
              <w:rPr>
                <w:rFonts w:ascii="Times New Roman" w:cs="Times New Roman" w:eastAsia="Times New Roman" w:hAnsi="Times New Roman"/>
                <w:sz w:val="20"/>
                <w:szCs w:val="20"/>
                <w:color w:val="313131"/>
              </w:rPr>
              <w:t>Officer pursuant to 18 U.S.C. Section 1350, as adopted pursuant to</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gridSpan w:val="4"/>
            <w:vMerge w:val="restart"/>
          </w:tcPr>
          <w:p>
            <w:pPr>
              <w:jc w:val="center"/>
              <w:ind w:left="240"/>
              <w:spacing w:after="0"/>
              <w:rPr>
                <w:sz w:val="20"/>
                <w:szCs w:val="20"/>
                <w:color w:val="auto"/>
              </w:rPr>
            </w:pPr>
            <w:r>
              <w:rPr>
                <w:rFonts w:ascii="Times New Roman" w:cs="Times New Roman" w:eastAsia="Times New Roman" w:hAnsi="Times New Roman"/>
                <w:sz w:val="20"/>
                <w:szCs w:val="20"/>
                <w:color w:val="313131"/>
                <w:w w:val="99"/>
              </w:rPr>
              <w:t>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0" w:type="dxa"/>
            <w:vAlign w:val="bottom"/>
            <w:gridSpan w:val="12"/>
          </w:tcPr>
          <w:p>
            <w:pPr>
              <w:spacing w:after="0" w:line="210" w:lineRule="exact"/>
              <w:rPr>
                <w:sz w:val="20"/>
                <w:szCs w:val="20"/>
                <w:color w:val="auto"/>
              </w:rPr>
            </w:pPr>
            <w:r>
              <w:rPr>
                <w:rFonts w:ascii="Times New Roman" w:cs="Times New Roman" w:eastAsia="Times New Roman" w:hAnsi="Times New Roman"/>
                <w:sz w:val="20"/>
                <w:szCs w:val="20"/>
                <w:color w:val="313131"/>
              </w:rPr>
              <w:t>Section 906 of the Sarbanes-Oxley Act of 2002.</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0"/>
        </w:trPr>
        <w:tc>
          <w:tcPr>
            <w:tcW w:w="54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8"/>
            <w:shd w:val="clear" w:color="auto" w:fill="313131"/>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00" w:type="dxa"/>
            <w:vAlign w:val="bottom"/>
            <w:gridSpan w:val="13"/>
          </w:tcPr>
          <w:p>
            <w:pPr>
              <w:spacing w:after="0" w:line="220" w:lineRule="exact"/>
              <w:rPr>
                <w:sz w:val="20"/>
                <w:szCs w:val="20"/>
                <w:color w:val="auto"/>
              </w:rPr>
            </w:pPr>
            <w:r>
              <w:rPr>
                <w:rFonts w:ascii="Times New Roman" w:cs="Times New Roman" w:eastAsia="Times New Roman" w:hAnsi="Times New Roman"/>
                <w:sz w:val="20"/>
                <w:szCs w:val="20"/>
                <w:color w:val="313131"/>
              </w:rPr>
              <w:t>Policy Regarding Recovery of Erroneously Awarded Compensation</w:t>
            </w:r>
          </w:p>
        </w:tc>
        <w:tc>
          <w:tcPr>
            <w:tcW w:w="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gridSpan w:val="3"/>
          </w:tcPr>
          <w:p>
            <w:pPr>
              <w:spacing w:after="0" w:line="20" w:lineRule="exact"/>
              <w:rPr>
                <w:sz w:val="1"/>
                <w:szCs w:val="1"/>
                <w:color w:val="auto"/>
              </w:rPr>
            </w:pPr>
          </w:p>
        </w:tc>
        <w:tc>
          <w:tcPr>
            <w:tcW w:w="200" w:type="dxa"/>
            <w:vAlign w:val="bottom"/>
            <w:shd w:val="clear" w:color="auto" w:fill="31313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10"/>
            <w:shd w:val="clear" w:color="auto" w:fill="31313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vMerge w:val="restart"/>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line="20" w:lineRule="exact"/>
              <w:rPr>
                <w:sz w:val="1"/>
                <w:szCs w:val="1"/>
                <w:color w:val="auto"/>
              </w:rPr>
            </w:pPr>
          </w:p>
        </w:tc>
      </w:tr>
      <w:tr>
        <w:trPr>
          <w:trHeight w:val="234"/>
        </w:trPr>
        <w:tc>
          <w:tcPr>
            <w:tcW w:w="98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w w:val="98"/>
              </w:rPr>
              <w:t>101.INS</w:t>
            </w: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8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rPr>
              <w:t>101.SCH</w:t>
            </w: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40"/>
        </w:trPr>
        <w:tc>
          <w:tcPr>
            <w:tcW w:w="98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w w:val="98"/>
              </w:rPr>
              <w:t>101.CAL</w:t>
            </w: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40"/>
        </w:trPr>
        <w:tc>
          <w:tcPr>
            <w:tcW w:w="98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rPr>
              <w:t>101.DEF</w:t>
            </w: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40"/>
        </w:trPr>
        <w:tc>
          <w:tcPr>
            <w:tcW w:w="98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w w:val="98"/>
              </w:rPr>
              <w:t>101.LAB</w:t>
            </w: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56"/>
        </w:trPr>
        <w:tc>
          <w:tcPr>
            <w:tcW w:w="980" w:type="dxa"/>
            <w:vAlign w:val="bottom"/>
            <w:gridSpan w:val="7"/>
          </w:tcPr>
          <w:p>
            <w:pPr>
              <w:jc w:val="center"/>
              <w:ind w:right="120"/>
              <w:spacing w:after="0"/>
              <w:rPr>
                <w:sz w:val="20"/>
                <w:szCs w:val="20"/>
                <w:color w:val="auto"/>
              </w:rPr>
            </w:pPr>
            <w:r>
              <w:rPr>
                <w:rFonts w:ascii="Times New Roman" w:cs="Times New Roman" w:eastAsia="Times New Roman" w:hAnsi="Times New Roman"/>
                <w:sz w:val="20"/>
                <w:szCs w:val="20"/>
                <w:color w:val="auto"/>
                <w:w w:val="97"/>
              </w:rPr>
              <w:t>101.PRE</w:t>
            </w: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7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00" w:type="dxa"/>
            <w:vAlign w:val="bottom"/>
          </w:tcPr>
          <w:p>
            <w:pPr>
              <w:ind w:left="136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06"/>
        </w:trPr>
        <w:tc>
          <w:tcPr>
            <w:tcW w:w="540" w:type="dxa"/>
            <w:vAlign w:val="bottom"/>
            <w:tcBorders>
              <w:top w:val="single" w:sz="8" w:color="auto"/>
            </w:tcBorders>
            <w:gridSpan w:val="4"/>
          </w:tcPr>
          <w:p>
            <w:pPr>
              <w:jc w:val="center"/>
              <w:ind w:left="140"/>
              <w:spacing w:after="0" w:line="207" w:lineRule="exact"/>
              <w:rPr>
                <w:sz w:val="20"/>
                <w:szCs w:val="20"/>
                <w:color w:val="auto"/>
              </w:rPr>
            </w:pPr>
            <w:r>
              <w:rPr>
                <w:rFonts w:ascii="Times New Roman" w:cs="Times New Roman" w:eastAsia="Times New Roman" w:hAnsi="Times New Roman"/>
                <w:sz w:val="20"/>
                <w:szCs w:val="20"/>
                <w:color w:val="auto"/>
                <w:w w:val="99"/>
              </w:rPr>
              <w:t>104</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700" w:type="dxa"/>
            <w:vAlign w:val="bottom"/>
            <w:gridSpan w:val="13"/>
          </w:tcPr>
          <w:p>
            <w:pPr>
              <w:spacing w:after="0" w:line="207" w:lineRule="exact"/>
              <w:rPr>
                <w:sz w:val="20"/>
                <w:szCs w:val="20"/>
                <w:color w:val="auto"/>
              </w:rPr>
            </w:pPr>
            <w:r>
              <w:rPr>
                <w:rFonts w:ascii="Times New Roman" w:cs="Times New Roman" w:eastAsia="Times New Roman" w:hAnsi="Times New Roman"/>
                <w:sz w:val="20"/>
                <w:szCs w:val="20"/>
                <w:color w:val="auto"/>
              </w:rPr>
              <w:t>The cover page from the Company’s Annual Report on Form 10-K for</w:t>
            </w:r>
          </w:p>
        </w:tc>
        <w:tc>
          <w:tcPr>
            <w:tcW w:w="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00" w:type="dxa"/>
            <w:vAlign w:val="bottom"/>
          </w:tcPr>
          <w:p>
            <w:pPr>
              <w:ind w:left="1360"/>
              <w:spacing w:after="0" w:line="207" w:lineRule="exact"/>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the fiscal year ended December 31, 2025, formatted in Inline XBRL</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70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(included in Exhibit 101).</w:t>
            </w: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-1270</wp:posOffset>
                </wp:positionV>
                <wp:extent cx="55753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753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0.0999pt" to="43.2pt,-0.0999pt" o:allowincell="f" strokecolor="#000000" strokeweight="0.72pt"/>
            </w:pict>
          </mc:Fallback>
        </mc:AlternateContent>
      </w:r>
    </w:p>
    <w:p>
      <w:pPr>
        <w:spacing w:after="0"/>
        <w:rPr>
          <w:sz w:val="20"/>
          <w:szCs w:val="20"/>
          <w:color w:val="auto"/>
        </w:rPr>
      </w:pPr>
      <w:r>
        <w:rPr>
          <w:rFonts w:ascii="Times New Roman" w:cs="Times New Roman" w:eastAsia="Times New Roman" w:hAnsi="Times New Roman"/>
          <w:sz w:val="20"/>
          <w:szCs w:val="20"/>
          <w:color w:val="auto"/>
        </w:rPr>
        <w:t>* Management contract, compensatory plan or arrangement.</w:t>
      </w:r>
    </w:p>
    <w:p>
      <w:pPr>
        <w:spacing w:after="0" w:line="15" w:lineRule="exact"/>
        <w:rPr>
          <w:sz w:val="20"/>
          <w:szCs w:val="20"/>
          <w:color w:val="auto"/>
        </w:rPr>
      </w:pPr>
    </w:p>
    <w:p>
      <w:pPr>
        <w:ind w:left="160" w:hanging="160"/>
        <w:spacing w:after="0"/>
        <w:tabs>
          <w:tab w:leader="none" w:pos="1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portions of this document have been redacted as permitted by applicable regulations.</w:t>
      </w:r>
    </w:p>
    <w:p>
      <w:pPr>
        <w:spacing w:after="0" w:line="20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i w:val="1"/>
          <w:iCs w:val="1"/>
          <w:color w:val="auto"/>
        </w:rPr>
        <w:t>Consolidated Financial Statement Schedules</w:t>
      </w:r>
    </w:p>
    <w:p>
      <w:pPr>
        <w:spacing w:after="0" w:line="231"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All consolidated financial statement schedules are omitted because the information is inapplicable or presented in the notes to the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elected not to include summary information.</w:t>
      </w:r>
    </w:p>
    <w:p>
      <w:pPr>
        <w:spacing w:after="0" w:line="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116 / 117</w:t>
      </w:r>
    </w:p>
    <w:p>
      <w:pPr>
        <w:sectPr>
          <w:pgSz w:w="12240" w:h="15840" w:orient="portrait"/>
          <w:cols w:equalWidth="0" w:num="1">
            <w:col w:w="10800"/>
          </w:cols>
          <w:pgMar w:left="720" w:top="790" w:right="720" w:bottom="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2"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Filana Therapeutics,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3086735</wp:posOffset>
                </wp:positionH>
                <wp:positionV relativeFrom="paragraph">
                  <wp:posOffset>20955</wp:posOffset>
                </wp:positionV>
                <wp:extent cx="240093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93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05pt,1.65pt" to="432.1pt,1.65pt" o:allowincell="f" strokecolor="#000000" strokeweight="0.72pt"/>
            </w:pict>
          </mc:Fallback>
        </mc:AlternateContent>
      </w:r>
    </w:p>
    <w:p>
      <w:pPr>
        <w:spacing w:after="0" w:line="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(Registrant)</w:t>
      </w: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 RICHARD J. BARRY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3086735</wp:posOffset>
                </wp:positionH>
                <wp:positionV relativeFrom="paragraph">
                  <wp:posOffset>22225</wp:posOffset>
                </wp:positionV>
                <wp:extent cx="240093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935" cy="4763"/>
                        </a:xfrm>
                        <a:prstGeom prst="line">
                          <a:avLst/>
                        </a:prstGeom>
                        <a:solidFill>
                          <a:srgbClr val="FFFFFF"/>
                        </a:solidFill>
                        <a:ln w="9143">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05pt,1.75pt" to="432.1pt,1.75pt" o:allowincell="f" strokecolor="#000000" strokeweight="0.7199pt"/>
            </w:pict>
          </mc:Fallback>
        </mc:AlternateContent>
      </w:r>
    </w:p>
    <w:p>
      <w:pPr>
        <w:spacing w:after="0" w:line="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Richard J. Barry,</w:t>
      </w:r>
    </w:p>
    <w:p>
      <w:pPr>
        <w:spacing w:after="0" w:line="2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President, Chief Executive Officer and Director</w:t>
      </w:r>
    </w:p>
    <w:p>
      <w:pPr>
        <w:spacing w:after="0" w:line="1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12, 2026</w:t>
      </w:r>
    </w:p>
    <w:p>
      <w:pPr>
        <w:spacing w:after="0" w:line="228" w:lineRule="exact"/>
        <w:rPr>
          <w:sz w:val="20"/>
          <w:szCs w:val="20"/>
          <w:color w:val="auto"/>
        </w:rPr>
      </w:pPr>
    </w:p>
    <w:p>
      <w:pPr>
        <w:ind w:firstLine="3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20" w:type="dxa"/>
            <w:vAlign w:val="bottom"/>
          </w:tcPr>
          <w:p>
            <w:pPr>
              <w:spacing w:after="0"/>
              <w:rPr>
                <w:sz w:val="22"/>
                <w:szCs w:val="22"/>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2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7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RICHARD J. BARRY</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Chief Executive Officer and</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19"/>
        </w:trPr>
        <w:tc>
          <w:tcPr>
            <w:tcW w:w="4320" w:type="dxa"/>
            <w:vAlign w:val="bottom"/>
          </w:tcPr>
          <w:p>
            <w:pPr>
              <w:ind w:left="1980"/>
              <w:spacing w:after="0" w:line="219" w:lineRule="exact"/>
              <w:rPr>
                <w:sz w:val="20"/>
                <w:szCs w:val="20"/>
                <w:color w:val="auto"/>
              </w:rPr>
            </w:pPr>
            <w:r>
              <w:rPr>
                <w:rFonts w:ascii="Times New Roman" w:cs="Times New Roman" w:eastAsia="Times New Roman" w:hAnsi="Times New Roman"/>
                <w:sz w:val="20"/>
                <w:szCs w:val="20"/>
                <w:color w:val="auto"/>
              </w:rPr>
              <w:t>Richard J. Barry</w:t>
            </w:r>
          </w:p>
        </w:tc>
        <w:tc>
          <w:tcPr>
            <w:tcW w:w="220" w:type="dxa"/>
            <w:vAlign w:val="bottom"/>
          </w:tcPr>
          <w:p>
            <w:pPr>
              <w:spacing w:after="0"/>
              <w:rPr>
                <w:sz w:val="19"/>
                <w:szCs w:val="19"/>
                <w:color w:val="auto"/>
              </w:rPr>
            </w:pPr>
          </w:p>
        </w:tc>
        <w:tc>
          <w:tcPr>
            <w:tcW w:w="432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65"/>
        </w:trPr>
        <w:tc>
          <w:tcPr>
            <w:tcW w:w="4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47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ERIC J. SCHOEN</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07"/>
        </w:trPr>
        <w:tc>
          <w:tcPr>
            <w:tcW w:w="432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rPr>
              <w:t>Eric J. Schoen</w:t>
            </w:r>
          </w:p>
        </w:tc>
        <w:tc>
          <w:tcPr>
            <w:tcW w:w="220" w:type="dxa"/>
            <w:vAlign w:val="bottom"/>
          </w:tcPr>
          <w:p>
            <w:pPr>
              <w:spacing w:after="0"/>
              <w:rPr>
                <w:sz w:val="17"/>
                <w:szCs w:val="17"/>
                <w:color w:val="auto"/>
              </w:rPr>
            </w:pPr>
          </w:p>
        </w:tc>
        <w:tc>
          <w:tcPr>
            <w:tcW w:w="4320" w:type="dxa"/>
            <w:vAlign w:val="bottom"/>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(Principal Financial Officer and Principal Accounting</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5"/>
        </w:trPr>
        <w:tc>
          <w:tcPr>
            <w:tcW w:w="4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Officer)</w:t>
            </w: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47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ANDERSON, JR.</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Robert Anderson, Jr.</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RICHARD J. BARRY</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Richard J. Barry</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DAWN C. BIR</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Dawn C. Bir</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PIERRE GRAVIER</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Pierre Gravier</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Z. GUSSIN, PH.D.</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Robert Z. Gussin, Ph.D.</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2"/>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CLAUDE NICAISE, M.D.</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Claude Nicaise, M.D.</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3"/>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J. O'DONNELL, ESQ.</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Michael J. O'Donnell, Esq.</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55"/>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PATRICK SCANNON, M.D., PH.D.</w:t>
            </w:r>
          </w:p>
        </w:tc>
        <w:tc>
          <w:tcPr>
            <w:tcW w:w="22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12, 2026</w:t>
            </w:r>
          </w:p>
        </w:tc>
      </w:tr>
      <w:tr>
        <w:trPr>
          <w:trHeight w:val="260"/>
        </w:trPr>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Patrick Scannon, M.D., Ph.D.</w:t>
            </w:r>
          </w:p>
        </w:tc>
        <w:tc>
          <w:tcPr>
            <w:tcW w:w="2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447"/>
        </w:trPr>
        <w:tc>
          <w:tcPr>
            <w:tcW w:w="4320" w:type="dxa"/>
            <w:vAlign w:val="bottom"/>
          </w:tcPr>
          <w:p>
            <w:pPr>
              <w:spacing w:after="0"/>
              <w:rPr>
                <w:sz w:val="24"/>
                <w:szCs w:val="24"/>
                <w:color w:val="auto"/>
              </w:rPr>
            </w:pPr>
          </w:p>
        </w:tc>
        <w:tc>
          <w:tcPr>
            <w:tcW w:w="4540" w:type="dxa"/>
            <w:vAlign w:val="bottom"/>
            <w:gridSpan w:val="2"/>
          </w:tcPr>
          <w:p>
            <w:pPr>
              <w:jc w:val="right"/>
              <w:ind w:right="3200"/>
              <w:spacing w:after="0"/>
              <w:rPr>
                <w:sz w:val="20"/>
                <w:szCs w:val="20"/>
                <w:color w:val="auto"/>
              </w:rPr>
            </w:pPr>
            <w:r>
              <w:rPr>
                <w:rFonts w:ascii="Times New Roman" w:cs="Times New Roman" w:eastAsia="Times New Roman" w:hAnsi="Times New Roman"/>
                <w:sz w:val="20"/>
                <w:szCs w:val="20"/>
                <w:color w:val="auto"/>
              </w:rPr>
              <w:t>108</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117 / 117</w:t>
      </w:r>
    </w:p>
    <w:p>
      <w:pPr>
        <w:sectPr>
          <w:pgSz w:w="12240" w:h="15840" w:orient="portrait"/>
          <w:cols w:equalWidth="0" w:num="1">
            <w:col w:w="10800"/>
          </w:cols>
          <w:pgMar w:left="720" w:top="829" w:right="720" w:bottom="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i w:val="1"/>
          <w:iCs w:val="1"/>
          <w:color w:val="auto"/>
        </w:rPr>
        <w:t>(This page intentionally left blank)</w:t>
      </w:r>
    </w:p>
    <w:p>
      <w:pPr>
        <w:sectPr>
          <w:pgSz w:w="12240" w:h="15840" w:orient="portrait"/>
          <w:cols w:equalWidth="0" w:num="1">
            <w:col w:w="9360"/>
          </w:cols>
          <w:pgMar w:left="1440" w:top="1440" w:right="1440" w:bottom="1440" w:gutter="0" w:footer="0" w:header="0"/>
        </w:sectPr>
      </w:pPr>
    </w:p>
    <w:bookmarkStart w:id="118" w:name="page119"/>
    <w:bookmarkEnd w:id="118"/>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19" w:name="page120"/>
    <w:bookmarkEnd w:id="11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ր"/>
      <w:numFmt w:val="bullet"/>
      <w:start w:val="1"/>
    </w:lvl>
  </w:abstractNum>
  <w:abstractNum w:abstractNumId="1">
    <w:nsid w:val="2D1D5AE9"/>
    <w:multiLevelType w:val="hybridMultilevel"/>
    <w:lvl w:ilvl="0">
      <w:lvlJc w:val="left"/>
      <w:lvlText w:val="տ"/>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lowerRoman"/>
      <w:start w:val="3"/>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lowerRoman"/>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lowerRoman"/>
      <w:start w:val="3"/>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2"/>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lowerLetter"/>
      <w:start w:val="1"/>
    </w:lvl>
    <w:lvl w:ilvl="1">
      <w:lvlJc w:val="left"/>
      <w:lvlText w:val="(%2)"/>
      <w:numFmt w:val="decimal"/>
      <w:start w:val="1"/>
    </w:lvl>
  </w:abstractNum>
  <w:abstractNum w:abstractNumId="42">
    <w:nsid w:val="1D4ED43B"/>
    <w:multiLevelType w:val="hybridMultilevel"/>
    <w:lvl w:ilvl="0">
      <w:lvlJc w:val="left"/>
      <w:lvlText w:val="(%1)"/>
      <w:numFmt w:val="lowerLetter"/>
      <w:start w:val="2"/>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2026-04-28T15:37:42Z</dcterms:created>
  <dcterms:modified xsi:type="dcterms:W3CDTF">2026-04-28T15:37:42Z</dcterms:modified>
</cp:coreProperties>
</file>